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'1.0' encoding='UTF-8' standalone='yes'?>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A1FA4">
      <w:pPr>
        <w:jc w:val="center"/>
        <w:rPr>
          <w:lang w:val="pt-PT"/>
        </w:rPr>
      </w:pPr>
      <w:r>
        <w:rPr>
          <w:b/>
          <w:sz w:val="26"/>
          <w:lang w:val="pt-PT"/>
        </w:rPr>
        <w:t>CHAMADA DE TRABALHOS</w:t>
      </w:r>
    </w:p>
    <w:p w14:paraId="4BF7ABE2">
      <w:pPr>
        <w:spacing w:after="100"/>
        <w:jc w:val="center"/>
        <w:rPr>
          <w:i/>
          <w:iCs/>
          <w:lang w:val="pt-PT"/>
        </w:rPr>
      </w:pPr>
      <w:r>
        <w:rPr>
          <w:b/>
          <w:i/>
        </w:rPr>
        <w:t>Escrever o Mal nas Literaturas Românicas: Ética, Política e Contemporaneidade</w:t>
      </w:r>
    </w:p>
    <w:p w14:paraId="39650790">
      <w:pPr>
        <w:spacing w:after="120"/>
        <w:ind w:firstLine="397"/>
        <w:jc w:val="both"/>
        <w:rPr>
          <w:lang w:val="pt-PT"/>
        </w:rPr>
      </w:pPr>
    </w:p>
    <w:p w14:paraId="27A492A5">
      <w:pPr>
        <w:spacing w:after="120"/>
        <w:ind w:firstLine="720"/>
        <w:jc w:val="both"/>
        <w:rPr>
          <w:lang w:val="pt-PT"/>
        </w:rPr>
      </w:pPr>
      <w:r>
        <w:rPr>
          <w:lang w:val="pt-PT"/>
        </w:rPr>
        <w:t>O problema do mal atravessa, desde sempre, a reflexão filosófica, religiosa, ética e estética. Se a filosofia procurou interrogar a sua origem, natureza e possibilidade — do mal metafísico e moral à violência política e às formas históricas da barbárie —, a literatura transformou-o num dos seus mais persistentes territórios de investigação da condição humana.</w:t>
      </w:r>
    </w:p>
    <w:p w14:paraId="35DBF298">
      <w:pPr>
        <w:spacing w:after="120"/>
        <w:ind w:firstLine="720"/>
        <w:jc w:val="both"/>
        <w:rPr>
          <w:lang w:val="pt-PT"/>
        </w:rPr>
      </w:pPr>
      <w:r>
        <w:rPr>
          <w:lang w:val="pt-PT"/>
        </w:rPr>
        <w:t>Na contemporaneidade, esta questão adquire uma particular acuidade. Guerras, genocídios, totalitarismos, colonialismos, desigualdades, formas de exclusão e desumanização, violência de género, destruição ambiental, novas modalidades de vigilância e controlo, fundamentalismos e crises das democracias obrigam a repensar não apenas a experiência do mal, mas também os modos através dos quais a literatura o representa, interroga, denuncia ou torna problemático.</w:t>
      </w:r>
    </w:p>
    <w:p w14:paraId="452CC076">
      <w:pPr>
        <w:spacing w:after="120"/>
        <w:ind w:firstLine="720"/>
        <w:jc w:val="both"/>
        <w:rPr>
          <w:lang w:val="pt-PT"/>
        </w:rPr>
      </w:pPr>
      <w:r>
        <w:rPr>
          <w:lang w:val="pt-PT"/>
        </w:rPr>
        <w:t>Mais do que reproduzir uma oposição simples entre bem e mal, a escrita literária contemporânea tende a confrontar-nos com zonas de ambiguidade moral, situações-limite e personagens cuja responsabilidade dificilmente se deixa reduzir a categorias estáveis. O mal pode surgir como ação individual ou fenómeno coletivo, como produto de determinadas estruturas históricas e políticas, como experiência íntima, como violência quotidiana ou como realidade aparentemente banal e normalizada. Pode ainda assumir formas simbólicas, míticas, religiosas, grotescas, irónicas, satíricas ou distópicas.</w:t>
      </w:r>
    </w:p>
    <w:p w14:paraId="4361D2F3">
      <w:pPr>
        <w:spacing w:after="120"/>
        <w:ind w:firstLine="720"/>
        <w:jc w:val="both"/>
        <w:rPr>
          <w:b w:val="0"/>
          <w:bCs w:val="0"/>
          <w:lang w:val="pt-PT"/>
        </w:rPr>
      </w:pPr>
      <w:r>
        <w:rPr>
          <w:b w:val="0"/>
          <w:bCs w:val="0"/>
        </w:rPr>
        <w:t>O presente dossiê, “Escrever o Mal nas Literaturas Românicas: Ética, Política e Contemporaneidade”, pretende reunir estudos que examinem criticamente as figurações do mal nas literaturas de expressão românica, privilegiando abordagens capazes de articular a análise literária com questões filosóficas, éticas, políticas, históricas e culturais. O dossiê procura, deste modo, explorar a diversidade de formas através das quais diferentes tradições literárias do espaço românico têm representado, interrogado e problematizado o mal.</w:t>
      </w:r>
    </w:p>
    <w:p w14:paraId="00724725">
      <w:pPr>
        <w:spacing w:after="120"/>
        <w:ind w:firstLine="720"/>
        <w:jc w:val="both"/>
        <w:rPr>
          <w:lang w:val="pt-PT"/>
        </w:rPr>
      </w:pPr>
      <w:r>
        <w:rPr>
          <w:lang w:val="pt-PT"/>
        </w:rPr>
        <w:t>Interessa-nos particularmente pensar de que modo a literatura não apenas representa o mal, mas também constitui um espaço privilegiado para interrogar as suas causas, os seus agentes, as suas vítimas e testemunhas, bem como os limites da responsabilidade individual e coletiva. Que pode a literatura dizer sobre o mal que outros discursos não conseguem dizer da mesma forma? De que maneira a linguagem literária torna visível, compreensível — ou, pelo contrário, radicalmente incompreensível — a experiência da violência e da crueldade? Até que ponto narrar o mal implica igualmente problemas éticos de representação?</w:t>
      </w:r>
    </w:p>
    <w:p w14:paraId="20D0AEE6">
      <w:pPr>
        <w:spacing w:after="120"/>
        <w:ind w:firstLine="720"/>
        <w:jc w:val="both"/>
        <w:rPr>
          <w:lang w:val="pt-PT"/>
        </w:rPr>
      </w:pPr>
      <w:r>
        <w:rPr>
          <w:lang w:val="pt-PT"/>
        </w:rPr>
        <w:t>A referência à “contemporaneidade” não deverá, neste contexto, ser entendida como a imposição de uma fronteira cronológica rígida. Mais do que designar exclusivamente um período histórico delimitado, o termo identifica um horizonte de problemas, experiências e interrogações que continuam a determinar o nosso presente. Serão, por isso, igualmente pertinentes estudos sobre obras de épocas anteriores — em particular dos séculos XX e XXI — sempre que estas permitam pensar questões cuja atualidade permanece decisiva, como a violência política, a guerra, o genocídio, o totalitarismo, o colonialismo, a responsabilidade individual e coletiva, a memória, o trauma, a exclusão ou a desumanização. A contemporaneidade é aqui entendida, portanto, antes de mais, como uma condição crítica e um campo de interrogação, e não como uma delimitação estritamente cronológica do corpus.</w:t>
      </w:r>
    </w:p>
    <w:p w14:paraId="277EFAD0">
      <w:pPr>
        <w:spacing w:after="120"/>
        <w:ind w:firstLine="720"/>
        <w:jc w:val="both"/>
        <w:rPr>
          <w:lang w:val="pt-PT"/>
        </w:rPr>
      </w:pPr>
      <w:r>
        <w:t>Convidam-se investigadores das áreas de Literaturas Românicas, Estudos Literários, Literatura Comparada, Filosofia, Estética, Ética, Estudos Culturais e outras disciplinas afins a submeter propostas de artigos originais.</w:t>
      </w:r>
    </w:p>
    <w:p w14:paraId="38A10D7E">
      <w:pPr>
        <w:spacing w:after="120"/>
        <w:ind w:firstLine="720"/>
        <w:jc w:val="both"/>
        <w:rPr>
          <w:lang w:val="pt-PT"/>
        </w:rPr>
      </w:pPr>
      <w:r>
        <w:rPr>
          <w:lang w:val="pt-PT"/>
        </w:rPr>
        <w:t>Entre outras possibilidades, serão particularmente bem-vindos trabalhos dedicados aos seguintes tópicos:</w:t>
      </w:r>
    </w:p>
    <w:p w14:paraId="273644DB">
      <w:pPr>
        <w:pStyle w:val="21"/>
        <w:spacing w:after="40"/>
        <w:ind w:left="454" w:hanging="142"/>
        <w:rPr>
          <w:lang w:val="pt-PT"/>
        </w:rPr>
      </w:pPr>
      <w:r>
        <w:rPr>
          <w:sz w:val="23"/>
          <w:lang w:val="pt-PT"/>
        </w:rPr>
        <w:t>figurações literárias do mal e da violência;</w:t>
      </w:r>
    </w:p>
    <w:p w14:paraId="4034001B">
      <w:pPr>
        <w:pStyle w:val="21"/>
        <w:spacing w:after="40"/>
        <w:ind w:left="454" w:hanging="142"/>
        <w:rPr>
          <w:lang w:val="pt-PT"/>
        </w:rPr>
      </w:pPr>
      <w:r>
        <w:rPr>
          <w:sz w:val="23"/>
          <w:lang w:val="pt-PT"/>
        </w:rPr>
        <w:t>literatura e filosofia do mal;</w:t>
      </w:r>
    </w:p>
    <w:p w14:paraId="2B86E51D">
      <w:pPr>
        <w:pStyle w:val="21"/>
        <w:spacing w:after="40"/>
        <w:ind w:left="454" w:hanging="142"/>
        <w:rPr>
          <w:lang w:val="pt-PT"/>
        </w:rPr>
      </w:pPr>
      <w:r>
        <w:rPr>
          <w:sz w:val="23"/>
          <w:lang w:val="pt-PT"/>
        </w:rPr>
        <w:t>responsabilidade, culpa, inocência e julgamento;</w:t>
      </w:r>
    </w:p>
    <w:p w14:paraId="5EFB6D7D">
      <w:pPr>
        <w:pStyle w:val="21"/>
        <w:spacing w:after="40"/>
        <w:ind w:left="454" w:hanging="142"/>
        <w:rPr>
          <w:lang w:val="pt-PT"/>
        </w:rPr>
      </w:pPr>
      <w:r>
        <w:rPr>
          <w:sz w:val="23"/>
          <w:lang w:val="pt-PT"/>
        </w:rPr>
        <w:t>vítima, carrasco, cúmplice e testemunha;</w:t>
      </w:r>
    </w:p>
    <w:p w14:paraId="18F0E6DB">
      <w:pPr>
        <w:pStyle w:val="21"/>
        <w:spacing w:after="40"/>
        <w:ind w:left="454" w:hanging="142"/>
        <w:rPr>
          <w:lang w:val="pt-PT"/>
        </w:rPr>
      </w:pPr>
      <w:r>
        <w:rPr>
          <w:sz w:val="23"/>
          <w:lang w:val="pt-PT"/>
        </w:rPr>
        <w:t>banalidade, quotidianidade e normalização do mal;</w:t>
      </w:r>
    </w:p>
    <w:p w14:paraId="22A00958">
      <w:pPr>
        <w:pStyle w:val="21"/>
        <w:spacing w:after="40"/>
        <w:ind w:left="454" w:hanging="142"/>
      </w:pPr>
      <w:r>
        <w:rPr>
          <w:sz w:val="23"/>
        </w:rPr>
        <w:t>mal, poder e instituições;</w:t>
      </w:r>
    </w:p>
    <w:p w14:paraId="6FB1A88F">
      <w:pPr>
        <w:pStyle w:val="21"/>
        <w:spacing w:after="40"/>
        <w:ind w:left="454" w:hanging="142"/>
        <w:rPr>
          <w:lang w:val="pt-PT"/>
        </w:rPr>
      </w:pPr>
      <w:r>
        <w:rPr>
          <w:sz w:val="23"/>
          <w:lang w:val="pt-PT"/>
        </w:rPr>
        <w:t>totalitarismo, autoritarismo e violência política;</w:t>
      </w:r>
    </w:p>
    <w:p w14:paraId="1F724544">
      <w:pPr>
        <w:pStyle w:val="21"/>
        <w:spacing w:after="40"/>
        <w:ind w:left="454" w:hanging="142"/>
      </w:pPr>
      <w:r>
        <w:rPr>
          <w:sz w:val="23"/>
        </w:rPr>
        <w:t>guerra, genocídio e memória;</w:t>
      </w:r>
    </w:p>
    <w:p w14:paraId="01009432">
      <w:pPr>
        <w:pStyle w:val="21"/>
        <w:spacing w:after="40"/>
        <w:ind w:left="454" w:hanging="142"/>
        <w:rPr>
          <w:color w:val="auto"/>
          <w:lang w:val="pt-PT"/>
        </w:rPr>
      </w:pPr>
      <w:r>
        <w:rPr>
          <w:color w:val="auto"/>
          <w:sz w:val="23"/>
          <w:lang w:val="pt-PT"/>
        </w:rPr>
        <w:t>rostos da guerra e expressão simbólica do trauma;</w:t>
      </w:r>
    </w:p>
    <w:p w14:paraId="706AE003">
      <w:pPr>
        <w:pStyle w:val="21"/>
        <w:spacing w:after="40"/>
        <w:ind w:left="454" w:hanging="142"/>
        <w:rPr>
          <w:lang w:val="pt-PT"/>
        </w:rPr>
      </w:pPr>
      <w:r>
        <w:rPr>
          <w:sz w:val="23"/>
          <w:lang w:val="pt-PT"/>
        </w:rPr>
        <w:t>colonialismo, pós-colonialismo e formas históricas de violência;</w:t>
      </w:r>
    </w:p>
    <w:p w14:paraId="238311C0">
      <w:pPr>
        <w:pStyle w:val="21"/>
        <w:spacing w:after="40"/>
        <w:ind w:left="454" w:hanging="142"/>
        <w:rPr>
          <w:lang w:val="pt-PT"/>
        </w:rPr>
      </w:pPr>
      <w:r>
        <w:rPr>
          <w:sz w:val="23"/>
          <w:lang w:val="pt-PT"/>
        </w:rPr>
        <w:t>violência de género e relações de dominação;</w:t>
      </w:r>
    </w:p>
    <w:p w14:paraId="2AB5765E">
      <w:pPr>
        <w:pStyle w:val="21"/>
        <w:spacing w:after="40"/>
        <w:ind w:left="454" w:hanging="142"/>
        <w:rPr>
          <w:lang w:val="pt-PT"/>
        </w:rPr>
      </w:pPr>
      <w:r>
        <w:rPr>
          <w:sz w:val="23"/>
          <w:lang w:val="pt-PT"/>
        </w:rPr>
        <w:t>religião, teodiceia, pecado e problema do mal;</w:t>
      </w:r>
    </w:p>
    <w:p w14:paraId="7906A100">
      <w:pPr>
        <w:pStyle w:val="21"/>
        <w:spacing w:after="40"/>
        <w:ind w:left="454" w:hanging="142"/>
      </w:pPr>
      <w:r>
        <w:rPr>
          <w:sz w:val="23"/>
        </w:rPr>
        <w:t>corpo, sofrimento e vulnerabilidade;</w:t>
      </w:r>
    </w:p>
    <w:p w14:paraId="6370E1E3">
      <w:pPr>
        <w:pStyle w:val="21"/>
        <w:spacing w:after="40"/>
        <w:ind w:left="454" w:hanging="142"/>
      </w:pPr>
      <w:r>
        <w:rPr>
          <w:sz w:val="23"/>
        </w:rPr>
        <w:t>exclusão, alteridade e desumanização;</w:t>
      </w:r>
    </w:p>
    <w:p w14:paraId="67A9FD2B">
      <w:pPr>
        <w:pStyle w:val="21"/>
        <w:spacing w:after="40"/>
        <w:ind w:left="454" w:hanging="142"/>
        <w:rPr>
          <w:lang w:val="pt-PT"/>
        </w:rPr>
      </w:pPr>
      <w:r>
        <w:rPr>
          <w:sz w:val="23"/>
          <w:lang w:val="pt-PT"/>
        </w:rPr>
        <w:t>distopia, catástrofe e imaginários do fim;</w:t>
      </w:r>
    </w:p>
    <w:p w14:paraId="7FC3C308">
      <w:pPr>
        <w:pStyle w:val="21"/>
        <w:spacing w:after="40"/>
        <w:ind w:left="454" w:hanging="142"/>
        <w:rPr>
          <w:lang w:val="pt-PT"/>
        </w:rPr>
      </w:pPr>
      <w:r>
        <w:rPr>
          <w:sz w:val="23"/>
          <w:lang w:val="pt-PT"/>
        </w:rPr>
        <w:t>mal, natureza e crise ecológica;</w:t>
      </w:r>
    </w:p>
    <w:p w14:paraId="14E022F3">
      <w:pPr>
        <w:pStyle w:val="21"/>
        <w:spacing w:after="40"/>
        <w:ind w:left="454" w:hanging="142"/>
        <w:rPr>
          <w:lang w:val="pt-PT"/>
        </w:rPr>
      </w:pPr>
      <w:r>
        <w:rPr>
          <w:sz w:val="23"/>
          <w:lang w:val="pt-PT"/>
        </w:rPr>
        <w:t>ironia, humor, grotesco e representação do mal;</w:t>
      </w:r>
    </w:p>
    <w:p w14:paraId="3B547939">
      <w:pPr>
        <w:pStyle w:val="21"/>
        <w:spacing w:after="40"/>
        <w:ind w:left="454" w:hanging="142"/>
        <w:rPr>
          <w:lang w:val="pt-PT"/>
        </w:rPr>
      </w:pPr>
      <w:r>
        <w:rPr>
          <w:sz w:val="23"/>
          <w:lang w:val="pt-PT"/>
        </w:rPr>
        <w:t>trauma, memória e pós-memória;</w:t>
      </w:r>
    </w:p>
    <w:p w14:paraId="6A49B89F">
      <w:pPr>
        <w:pStyle w:val="21"/>
        <w:spacing w:after="40"/>
        <w:ind w:left="454" w:hanging="142"/>
        <w:rPr>
          <w:lang w:val="pt-PT"/>
        </w:rPr>
      </w:pPr>
      <w:r>
        <w:rPr>
          <w:sz w:val="23"/>
          <w:lang w:val="pt-PT"/>
        </w:rPr>
        <w:t>ética da representação da violência;</w:t>
      </w:r>
    </w:p>
    <w:p w14:paraId="6793EC63">
      <w:pPr>
        <w:pStyle w:val="21"/>
        <w:spacing w:after="40"/>
        <w:ind w:left="454" w:hanging="142"/>
      </w:pPr>
      <w:r>
        <w:rPr>
          <w:sz w:val="23"/>
        </w:rPr>
        <w:t>linguagem, silêncio e irrepresentabilidade;</w:t>
      </w:r>
    </w:p>
    <w:p w14:paraId="61806312">
      <w:pPr>
        <w:pStyle w:val="21"/>
        <w:spacing w:after="40"/>
        <w:ind w:left="454" w:hanging="142"/>
      </w:pPr>
      <w:r>
        <w:rPr>
          <w:sz w:val="23"/>
        </w:rPr>
        <w:t>literatura, testemunho e responsabilidade;</w:t>
      </w:r>
    </w:p>
    <w:p w14:paraId="5A2FA762">
      <w:pPr>
        <w:pStyle w:val="21"/>
        <w:spacing w:after="40"/>
        <w:ind w:left="454" w:hanging="142"/>
        <w:rPr>
          <w:lang w:val="pt-PT"/>
        </w:rPr>
      </w:pPr>
      <w:r>
        <w:rPr>
          <w:sz w:val="23"/>
          <w:lang w:val="pt-PT"/>
        </w:rPr>
        <w:t>personagens moralmente ambíguas e crise das categorias de bem e mal;</w:t>
      </w:r>
    </w:p>
    <w:p w14:paraId="22DA61BA">
      <w:pPr>
        <w:pStyle w:val="21"/>
        <w:spacing w:after="40"/>
        <w:ind w:left="454" w:hanging="142"/>
        <w:rPr>
          <w:lang w:val="pt-PT"/>
        </w:rPr>
      </w:pPr>
      <w:r>
        <w:rPr>
          <w:sz w:val="23"/>
          <w:lang w:val="pt-PT"/>
        </w:rPr>
        <w:t>formas contemporâneas de resistência ao mal.</w:t>
      </w:r>
    </w:p>
    <w:p w14:paraId="18F680F2">
      <w:pPr>
        <w:numPr>
          <w:ilvl w:val="0"/>
          <w:numId w:val="0"/>
        </w:numPr>
        <w:spacing w:after="40"/>
        <w:ind w:left="454"/>
        <w:rPr>
          <w:lang w:val="pt-PT"/>
        </w:rPr>
      </w:pPr>
    </w:p>
    <w:p w14:paraId="47B79459">
      <w:pPr>
        <w:spacing w:after="120"/>
        <w:ind w:firstLine="720"/>
        <w:jc w:val="both"/>
        <w:rPr>
          <w:lang w:val="pt-PT"/>
        </w:rPr>
      </w:pPr>
      <w:r>
        <w:rPr>
          <w:lang w:val="pt-PT"/>
        </w:rPr>
        <w:t>O dossiê acolherá estudos centrados numa única obra ou autor, bem como abordagens comparatistas e transdisciplinares. Serão igualmente valorizadas propostas que ponham em diálogo a literatura com a filosofia e o pensamento de autores que, por diferentes vias, problematizaram o mal, a violência, a responsabilidade, a culpa e a condição humana.</w:t>
      </w:r>
    </w:p>
    <w:p w14:paraId="1DB82CD6">
      <w:pPr>
        <w:spacing w:after="120"/>
        <w:ind w:firstLine="397"/>
        <w:jc w:val="both"/>
        <w:rPr>
          <w:b w:val="0"/>
          <w:bCs w:val="0"/>
          <w:lang w:val="pt-PT"/>
        </w:rPr>
      </w:pPr>
      <w:r>
        <w:rPr>
          <w:b w:val="0"/>
          <w:bCs w:val="0"/>
        </w:rPr>
        <w:t xml:space="preserve">Sem pretender estabelecer um </w:t>
      </w:r>
      <w:r>
        <w:rPr>
          <w:b w:val="0"/>
          <w:bCs w:val="0"/>
          <w:i/>
        </w:rPr>
        <w:t xml:space="preserve">corpus </w:t>
      </w:r>
      <w:r>
        <w:rPr>
          <w:b w:val="0"/>
          <w:bCs w:val="0"/>
        </w:rPr>
        <w:t>fechado, poderão ser estudadas obras provenientes das diferentes literaturas de expressão românica, em distintos períodos e contextos culturais, de modo a favorecer uma reflexão plural sobre as formas estéticas, éticas e políticas através das quais a literatura pensa o mal e interpela o nosso presente. Serão igualmente acolhidas abordagens comparatistas que ponham essas literaturas em diálogo entre si ou com outras tradições literárias e culturais — a título meramente exemplificativo, em aproximações entre autores como Camus e Saramago, Primo Levi e Jorge Semprún, ou Saramago e Kafka —, desde que o corpus românico constitua um elemento central da análise.</w:t>
      </w:r>
    </w:p>
    <w:p w14:paraId="7C805377">
      <w:pPr>
        <w:spacing w:before="200"/>
        <w:rPr>
          <w:lang w:val="pt-PT"/>
        </w:rPr>
      </w:pPr>
      <w:r>
        <w:rPr>
          <w:b/>
          <w:sz w:val="28"/>
          <w:lang w:val="pt-PT"/>
        </w:rPr>
        <w:t>Submissão</w:t>
      </w:r>
    </w:p>
    <w:p w14:paraId="42ADA2A7">
      <w:pPr>
        <w:spacing w:after="80"/>
        <w:rPr>
          <w:lang w:val="pt-PT"/>
        </w:rPr>
      </w:pPr>
      <w:r>
        <w:rPr>
          <w:b w:val="0"/>
          <w:bCs w:val="0"/>
        </w:rPr>
        <w:t xml:space="preserve">Os artigos deverão ser inéditos e respeitar as normas editoriais da </w:t>
      </w:r>
      <w:r>
        <w:rPr>
          <w:b w:val="0"/>
          <w:bCs w:val="0"/>
          <w:i/>
        </w:rPr>
        <w:t>Revue Romane</w:t>
      </w:r>
      <w:r>
        <w:rPr>
          <w:b w:val="0"/>
          <w:bCs w:val="0"/>
        </w:rPr>
        <w:t>. Todos os artigos serão sujeitos a revisão por pares segundo os procedimentos editoriais da revista.</w:t>
      </w:r>
    </w:p>
    <w:p w14:paraId="1624E2C4">
      <w:pPr>
        <w:spacing w:after="80"/>
        <w:rPr>
          <w:highlight w:val="yellow"/>
          <w:lang w:val="pt-PT"/>
        </w:rPr>
      </w:pPr>
      <w:r>
        <w:rPr>
          <w:b/>
          <w:i w:val="0"/>
        </w:rPr>
        <w:t xml:space="preserve">Prazo para submissão: </w:t>
      </w:r>
      <w:r>
        <w:rPr>
          <w:b w:val="0"/>
          <w:i w:val="0"/>
        </w:rPr>
        <w:t>entre 1 de fevereiro e 15 de abril de 2027.</w:t>
      </w:r>
    </w:p>
    <w:p w14:paraId="0648580D">
      <w:pPr>
        <w:spacing w:after="80"/>
        <w:rPr>
          <w:lang w:val="pt-PT"/>
        </w:rPr>
      </w:pPr>
      <w:r>
        <w:rPr>
          <w:b/>
          <w:i w:val="0"/>
        </w:rPr>
        <w:t xml:space="preserve">Publicação prevista: </w:t>
      </w:r>
      <w:r>
        <w:rPr>
          <w:b w:val="0"/>
          <w:i w:val="0"/>
        </w:rPr>
        <w:t>início de 2028.</w:t>
      </w:r>
    </w:p>
    <w:p w14:paraId="1FFBB1D9">
      <w:pPr>
        <w:spacing w:after="80"/>
        <w:rPr>
          <w:lang w:val="pt-PT"/>
        </w:rPr>
      </w:pPr>
      <w:r>
        <w:rPr>
          <w:b/>
          <w:i w:val="0"/>
        </w:rPr>
        <w:t xml:space="preserve">Extensão dos artigos: </w:t>
      </w:r>
      <w:r>
        <w:rPr>
          <w:b w:val="0"/>
          <w:i w:val="0"/>
        </w:rPr>
        <w:t xml:space="preserve">de acordo com as normas editoriais da </w:t>
      </w:r>
      <w:r>
        <w:rPr>
          <w:b w:val="0"/>
          <w:i/>
        </w:rPr>
        <w:t>Revue Romane</w:t>
      </w:r>
      <w:r>
        <w:rPr>
          <w:b w:val="0"/>
          <w:i w:val="0"/>
        </w:rPr>
        <w:t xml:space="preserve">, ver: </w:t>
      </w:r>
      <w:hyperlink r:id="rId10">
        <w:r>
          <w:rPr>
            <w:color w:val="0563C1"/>
            <w:u w:val="single"/>
          </w:rPr>
          <w:t>https://benjamins.com/catalog/rro/guidelines</w:t>
        </w:r>
      </w:hyperlink>
      <w:r>
        <w:rPr>
          <w:b w:val="0"/>
          <w:i w:val="0"/>
        </w:rPr>
        <w:t>.</w:t>
      </w:r>
    </w:p>
    <w:p w14:paraId="37AD66A9">
      <w:pPr>
        <w:spacing w:after="80"/>
        <w:rPr>
          <w:lang w:val="pt-PT"/>
        </w:rPr>
      </w:pPr>
      <w:r>
        <w:rPr>
          <w:b/>
          <w:i w:val="0"/>
        </w:rPr>
        <w:t xml:space="preserve">Línguas aceites: </w:t>
      </w:r>
      <w:r>
        <w:rPr>
          <w:b w:val="0"/>
          <w:i w:val="0"/>
        </w:rPr>
        <w:t>línguas românicas e inglês.</w:t>
      </w:r>
    </w:p>
    <w:p w14:paraId="34AFB354">
      <w:pPr>
        <w:spacing w:after="80"/>
        <w:rPr>
          <w:b w:val="0"/>
          <w:bCs/>
          <w:lang w:val="pt-PT"/>
        </w:rPr>
      </w:pPr>
      <w:r>
        <w:rPr>
          <w:b/>
          <w:i w:val="0"/>
        </w:rPr>
        <w:t xml:space="preserve">Submissão de originais: </w:t>
      </w:r>
      <w:r>
        <w:rPr>
          <w:b w:val="0"/>
          <w:i w:val="0"/>
        </w:rPr>
        <w:t xml:space="preserve">os artigos deverão ser submetidos, desde o início, através da plataforma Editorial Manager da </w:t>
      </w:r>
      <w:r>
        <w:rPr>
          <w:b w:val="0"/>
          <w:i/>
        </w:rPr>
        <w:t>Revue Romane</w:t>
      </w:r>
      <w:r>
        <w:rPr>
          <w:b w:val="0"/>
          <w:i w:val="0"/>
        </w:rPr>
        <w:t xml:space="preserve">: </w:t>
      </w:r>
      <w:hyperlink r:id="rId11">
        <w:r>
          <w:rPr>
            <w:color w:val="0563C1"/>
            <w:u w:val="single"/>
          </w:rPr>
          <w:t>https://www.editorialmanager.com/rro/</w:t>
        </w:r>
      </w:hyperlink>
      <w:r>
        <w:rPr>
          <w:b w:val="0"/>
          <w:i w:val="0"/>
        </w:rPr>
        <w:t xml:space="preserve">. Uma vez dentro do sistema, selecionar: </w:t>
      </w:r>
      <w:r>
        <w:rPr>
          <w:b w:val="0"/>
          <w:i/>
        </w:rPr>
        <w:t>Special issue: Writing Evil in Romance Literatures</w:t>
      </w:r>
      <w:r>
        <w:rPr>
          <w:b w:val="0"/>
          <w:i w:val="0"/>
        </w:rPr>
        <w:t>.</w:t>
      </w:r>
    </w:p>
    <w:p w14:paraId="78ABE651">
      <w:pPr>
        <w:spacing w:after="80"/>
        <w:rPr>
          <w:b w:val="0"/>
          <w:bCs/>
          <w:lang w:val="pt-PT"/>
        </w:rPr>
      </w:pPr>
      <w:r>
        <w:rPr>
          <w:b w:val="0"/>
          <w:bCs/>
        </w:rPr>
        <w:t>A submissão e o processo de revisão por pares decorrerão integralmente nesta plataforma, de modo a assegurar o cumprimento dos procedimentos editoriais da revista.</w:t>
      </w:r>
    </w:p>
    <w:p w14:paraId="26B0EED7">
      <w:pPr>
        <w:spacing w:before="200"/>
        <w:rPr>
          <w:b/>
          <w:sz w:val="28"/>
          <w:lang w:val="pt-PT"/>
        </w:rPr>
      </w:pPr>
    </w:p>
    <w:p w14:paraId="1D48F590">
      <w:pPr>
        <w:spacing w:before="200"/>
        <w:rPr>
          <w:lang w:val="pt-PT"/>
        </w:rPr>
      </w:pPr>
      <w:r>
        <w:rPr>
          <w:b/>
          <w:sz w:val="28"/>
          <w:lang w:val="pt-PT"/>
        </w:rPr>
        <w:t>Editores do dossiê</w:t>
      </w:r>
    </w:p>
    <w:p w14:paraId="758BB61C">
      <w:pPr>
        <w:spacing w:after="120"/>
        <w:rPr>
          <w:lang w:val="pt-PT"/>
        </w:rPr>
      </w:pPr>
      <w:r>
        <w:rPr>
          <w:b/>
          <w:lang w:val="pt-PT"/>
        </w:rPr>
        <w:t>Cândido Oliveira Martins</w:t>
      </w:r>
      <w:r>
        <w:rPr>
          <w:lang w:val="pt-PT"/>
        </w:rPr>
        <w:br w:type="textWrapping"/>
      </w:r>
      <w:r>
        <w:rPr>
          <w:lang w:val="pt-PT"/>
        </w:rPr>
        <w:t>[Universidade Católica Portuguesa – CEFH]</w:t>
      </w:r>
    </w:p>
    <w:p w14:paraId="06E5A0B4">
      <w:pPr>
        <w:spacing w:after="120"/>
        <w:rPr>
          <w:b/>
          <w:lang w:val="pt-PT"/>
        </w:rPr>
      </w:pPr>
    </w:p>
    <w:p w14:paraId="22AA1D12">
      <w:pPr>
        <w:spacing w:after="120"/>
        <w:rPr>
          <w:lang w:val="pt-PT"/>
        </w:rPr>
      </w:pPr>
      <w:r>
        <w:rPr>
          <w:b/>
          <w:lang w:val="pt-PT"/>
        </w:rPr>
        <w:t>Carlos Nogueira</w:t>
      </w:r>
      <w:r>
        <w:rPr>
          <w:lang w:val="pt-PT"/>
        </w:rPr>
        <w:br w:type="textWrapping"/>
      </w:r>
      <w:r>
        <w:rPr>
          <w:lang w:val="pt-PT"/>
        </w:rPr>
        <w:t>[</w:t>
      </w:r>
      <w:r>
        <w:rPr>
          <w:rFonts w:hint="default"/>
          <w:lang w:val="pt-PT"/>
        </w:rPr>
        <w:t xml:space="preserve">CEL, Cátedra José </w:t>
      </w:r>
      <w:r>
        <w:rPr>
          <w:lang w:val="es-ES"/>
        </w:rPr>
        <w:t>Saramago</w:t>
      </w:r>
      <w:r>
        <w:rPr>
          <w:rFonts w:hint="default"/>
          <w:lang w:val="pt-PT"/>
        </w:rPr>
        <w:t>, Universidade de Trás-os-Montes e Alto Douro / Universidade da Beira Interior, Portugal</w:t>
      </w:r>
      <w:bookmarkStart w:id="0" w:name="_GoBack"/>
      <w:bookmarkEnd w:id="0"/>
      <w:r>
        <w:rPr>
          <w:lang w:val="pt-PT"/>
        </w:rPr>
        <w:t>]</w:t>
      </w:r>
    </w:p>
    <w:sectPr>
      <w:footerReference r:id="rId5" w:type="default"/>
      <w:pgSz w:w="12240" w:h="15840"/>
      <w:pgMar w:top="1361" w:right="1474" w:bottom="1361" w:left="1474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ＭＳ 明朝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5558097">
    <w:pPr>
      <w:pStyle w:val="26"/>
      <w:jc w:val="center"/>
    </w:pPr>
    <w:r>
      <w:rPr>
        <w:sz w:val="18"/>
      </w:rPr>
      <w:fldChar w:fldCharType="begin"/>
    </w:r>
    <w:r>
      <w:rPr>
        <w:sz w:val="18"/>
      </w:rPr>
      <w:instrText xml:space="preserve"> PAGE </w:instrText>
    </w:r>
    <w:r>
      <w:rPr>
        <w:sz w:val="18"/>
      </w:rPr>
      <w:fldChar w:fldCharType="separate"/>
    </w:r>
    <w:r>
      <w:rPr>
        <w:sz w:val="18"/>
      </w:rPr>
      <w:t>1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5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27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4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32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30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1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290C"/>
    <w:rsid w:val="00034616"/>
    <w:rsid w:val="0006063C"/>
    <w:rsid w:val="0015074B"/>
    <w:rsid w:val="0029639D"/>
    <w:rsid w:val="003127BC"/>
    <w:rsid w:val="00326F90"/>
    <w:rsid w:val="00531D7C"/>
    <w:rsid w:val="00657D7D"/>
    <w:rsid w:val="006C6795"/>
    <w:rsid w:val="00AA1D8D"/>
    <w:rsid w:val="00B47730"/>
    <w:rsid w:val="00CB0664"/>
    <w:rsid w:val="00EA3046"/>
    <w:rsid w:val="00FC693F"/>
    <w:rsid w:val="029D0B7C"/>
    <w:rsid w:val="08BD11E5"/>
    <w:rsid w:val="2482436D"/>
    <w:rsid w:val="26470EC3"/>
    <w:rsid w:val="273F48DE"/>
    <w:rsid w:val="276F072E"/>
    <w:rsid w:val="7F3B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unhideWhenUsed="0" w:uiPriority="61" w:semiHidden="0" w:name="Light List Accent 1"/>
    <w:lsdException w:qFormat="1" w:unhideWhenUsed="0" w:uiPriority="62" w:semiHidden="0" w:name="Light Grid Accent 1"/>
    <w:lsdException w:unhideWhenUsed="0" w:uiPriority="63" w:semiHidden="0" w:name="Medium Shading 1 Accent 1"/>
    <w:lsdException w:qFormat="1"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qFormat="1" w:unhideWhenUsed="0" w:uiPriority="62" w:semiHidden="0" w:name="Light Grid Accent 2"/>
    <w:lsdException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qFormat="1" w:unhideWhenUsed="0" w:uiPriority="63" w:semiHidden="0" w:name="Medium Shading 1 Accent 4"/>
    <w:lsdException w:unhideWhenUsed="0" w:uiPriority="64" w:semiHidden="0" w:name="Medium Shading 2 Accent 4"/>
    <w:lsdException w:qFormat="1"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qFormat="1" w:unhideWhenUsed="0" w:uiPriority="61" w:semiHidden="0" w:name="Light List Accent 6"/>
    <w:lsdException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4"/>
      <w:szCs w:val="22"/>
      <w:lang w:val="en-US" w:eastAsia="en-US" w:bidi="ar-SA"/>
    </w:rPr>
  </w:style>
  <w:style w:type="paragraph" w:styleId="2">
    <w:name w:val="heading 1"/>
    <w:basedOn w:val="1"/>
    <w:next w:val="1"/>
    <w:link w:val="40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41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42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52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53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54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55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56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57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Strong"/>
    <w:basedOn w:val="11"/>
    <w:qFormat/>
    <w:uiPriority w:val="22"/>
    <w:rPr>
      <w:b/>
      <w:bCs/>
    </w:rPr>
  </w:style>
  <w:style w:type="paragraph" w:styleId="15">
    <w:name w:val="Body Text 3"/>
    <w:basedOn w:val="1"/>
    <w:link w:val="48"/>
    <w:unhideWhenUsed/>
    <w:qFormat/>
    <w:uiPriority w:val="99"/>
    <w:pPr>
      <w:spacing w:after="120"/>
    </w:pPr>
    <w:rPr>
      <w:sz w:val="16"/>
      <w:szCs w:val="16"/>
    </w:rPr>
  </w:style>
  <w:style w:type="paragraph" w:styleId="16">
    <w:name w:val="Body Text 2"/>
    <w:basedOn w:val="1"/>
    <w:link w:val="47"/>
    <w:unhideWhenUsed/>
    <w:qFormat/>
    <w:uiPriority w:val="99"/>
    <w:pPr>
      <w:spacing w:after="120" w:line="480" w:lineRule="auto"/>
    </w:pPr>
  </w:style>
  <w:style w:type="paragraph" w:styleId="17">
    <w:name w:val="Body Text"/>
    <w:basedOn w:val="1"/>
    <w:link w:val="46"/>
    <w:unhideWhenUsed/>
    <w:qFormat/>
    <w:uiPriority w:val="99"/>
    <w:pPr>
      <w:spacing w:after="120"/>
    </w:pPr>
  </w:style>
  <w:style w:type="paragraph" w:styleId="18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9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21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2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3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24">
    <w:name w:val="List Bullet 3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25">
    <w:name w:val="List Number 3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26">
    <w:name w:val="footer"/>
    <w:basedOn w:val="1"/>
    <w:link w:val="3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7">
    <w:name w:val="List Number 2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28">
    <w:name w:val="header"/>
    <w:basedOn w:val="1"/>
    <w:link w:val="3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9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30">
    <w:name w:val="List Number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31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32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3">
    <w:name w:val="macro"/>
    <w:link w:val="49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lang w:val="en-US" w:eastAsia="en-US" w:bidi="ar-SA"/>
    </w:rPr>
  </w:style>
  <w:style w:type="paragraph" w:styleId="34">
    <w:name w:val="Subtitle"/>
    <w:basedOn w:val="1"/>
    <w:next w:val="1"/>
    <w:link w:val="4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Cs w:val="24"/>
      <w14:textFill>
        <w14:solidFill>
          <w14:schemeClr w14:val="accent1"/>
        </w14:solidFill>
      </w14:textFill>
    </w:rPr>
  </w:style>
  <w:style w:type="paragraph" w:styleId="35">
    <w:name w:val="Title"/>
    <w:basedOn w:val="1"/>
    <w:next w:val="1"/>
    <w:link w:val="43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b/>
      <w:color w:val="17375E" w:themeColor="text2" w:themeShade="BF"/>
      <w:spacing w:val="5"/>
      <w:kern w:val="28"/>
      <w:sz w:val="34"/>
      <w:szCs w:val="52"/>
    </w:rPr>
  </w:style>
  <w:style w:type="table" w:styleId="36">
    <w:name w:val="Table Grid"/>
    <w:basedOn w:val="1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37">
    <w:name w:val="Cabeçalho Caráter"/>
    <w:basedOn w:val="11"/>
    <w:link w:val="28"/>
    <w:qFormat/>
    <w:uiPriority w:val="99"/>
  </w:style>
  <w:style w:type="character" w:customStyle="1" w:styleId="38">
    <w:name w:val="Rodapé Caráter"/>
    <w:basedOn w:val="11"/>
    <w:link w:val="26"/>
    <w:qFormat/>
    <w:uiPriority w:val="99"/>
  </w:style>
  <w:style w:type="paragraph" w:styleId="39">
    <w:name w:val="No Spacing"/>
    <w:qFormat/>
    <w:uiPriority w:val="1"/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40">
    <w:name w:val="Título 1 Caráte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41">
    <w:name w:val="Título 2 Caráte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42">
    <w:name w:val="Título 3 Caráte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43">
    <w:name w:val="Título Caráter"/>
    <w:basedOn w:val="11"/>
    <w:link w:val="35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44">
    <w:name w:val="Subtítulo Caráter"/>
    <w:basedOn w:val="11"/>
    <w:link w:val="34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45">
    <w:name w:val="List Paragraph"/>
    <w:basedOn w:val="1"/>
    <w:qFormat/>
    <w:uiPriority w:val="34"/>
    <w:pPr>
      <w:ind w:left="720"/>
      <w:contextualSpacing/>
    </w:pPr>
  </w:style>
  <w:style w:type="character" w:customStyle="1" w:styleId="46">
    <w:name w:val="Corpo de texto Caráter"/>
    <w:basedOn w:val="11"/>
    <w:link w:val="17"/>
    <w:qFormat/>
    <w:uiPriority w:val="99"/>
  </w:style>
  <w:style w:type="character" w:customStyle="1" w:styleId="47">
    <w:name w:val="Corpo de texto 2 Caráter"/>
    <w:basedOn w:val="11"/>
    <w:link w:val="16"/>
    <w:uiPriority w:val="99"/>
  </w:style>
  <w:style w:type="character" w:customStyle="1" w:styleId="48">
    <w:name w:val="Corpo de texto 3 Caráter"/>
    <w:basedOn w:val="11"/>
    <w:link w:val="15"/>
    <w:qFormat/>
    <w:uiPriority w:val="99"/>
    <w:rPr>
      <w:sz w:val="16"/>
      <w:szCs w:val="16"/>
    </w:rPr>
  </w:style>
  <w:style w:type="character" w:customStyle="1" w:styleId="49">
    <w:name w:val="Texto de macro Caráter"/>
    <w:basedOn w:val="11"/>
    <w:link w:val="33"/>
    <w:uiPriority w:val="99"/>
    <w:rPr>
      <w:rFonts w:ascii="Courier" w:hAnsi="Courier"/>
      <w:sz w:val="20"/>
      <w:szCs w:val="20"/>
    </w:rPr>
  </w:style>
  <w:style w:type="paragraph" w:styleId="50">
    <w:name w:val="Quote"/>
    <w:basedOn w:val="1"/>
    <w:next w:val="1"/>
    <w:link w:val="51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1">
    <w:name w:val="Citação Caráter"/>
    <w:basedOn w:val="11"/>
    <w:link w:val="50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52">
    <w:name w:val="Título 4 Caráte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3">
    <w:name w:val="Título 5 Caráter"/>
    <w:basedOn w:val="11"/>
    <w:link w:val="6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54">
    <w:name w:val="Título 6 Caráter"/>
    <w:basedOn w:val="11"/>
    <w:link w:val="7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55">
    <w:name w:val="Título 7 Caráte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56">
    <w:name w:val="Título 8 Caráte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57">
    <w:name w:val="Título 9 Caráte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58">
    <w:name w:val="Intense Quote"/>
    <w:basedOn w:val="1"/>
    <w:next w:val="1"/>
    <w:link w:val="59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59">
    <w:name w:val="Citação Intensa Caráter"/>
    <w:basedOn w:val="11"/>
    <w:link w:val="58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0">
    <w:name w:val="Ênfase Discreta1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61">
    <w:name w:val="Ênfase Intensa1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62">
    <w:name w:val="Referência Discreta1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63">
    <w:name w:val="Referência Intensa1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64">
    <w:name w:val="Título do Livro1"/>
    <w:basedOn w:val="11"/>
    <w:qFormat/>
    <w:uiPriority w:val="33"/>
    <w:rPr>
      <w:b/>
      <w:bCs/>
      <w:smallCaps/>
      <w:spacing w:val="5"/>
    </w:rPr>
  </w:style>
  <w:style w:type="paragraph" w:customStyle="1" w:styleId="65">
    <w:name w:val="Cabeçalho do Índice1"/>
    <w:basedOn w:val="2"/>
    <w:next w:val="1"/>
    <w:semiHidden/>
    <w:unhideWhenUsed/>
    <w:qFormat/>
    <w:uiPriority w:val="39"/>
    <w:pPr>
      <w:outlineLvl w:val="9"/>
    </w:pPr>
  </w:style>
  <w:style w:type="table" w:styleId="66">
    <w:name w:val="Light Shading"/>
    <w:basedOn w:val="12"/>
    <w:uiPriority w:val="60"/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67">
    <w:name w:val="Light Shading Accent 1"/>
    <w:basedOn w:val="12"/>
    <w:qFormat/>
    <w:uiPriority w:val="60"/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68">
    <w:name w:val="Light Shading Accent 2"/>
    <w:basedOn w:val="12"/>
    <w:uiPriority w:val="60"/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69">
    <w:name w:val="Light Shading Accent 3"/>
    <w:basedOn w:val="12"/>
    <w:uiPriority w:val="60"/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70">
    <w:name w:val="Light Shading Accent 4"/>
    <w:basedOn w:val="12"/>
    <w:qFormat/>
    <w:uiPriority w:val="60"/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71">
    <w:name w:val="Light Shading Accent 5"/>
    <w:basedOn w:val="12"/>
    <w:uiPriority w:val="60"/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72">
    <w:name w:val="Light Shading Accent 6"/>
    <w:basedOn w:val="12"/>
    <w:uiPriority w:val="60"/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73">
    <w:name w:val="Light List"/>
    <w:basedOn w:val="12"/>
    <w:qFormat/>
    <w:uiPriority w:val="61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74">
    <w:name w:val="Light List Accent 1"/>
    <w:basedOn w:val="12"/>
    <w:uiPriority w:val="61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75">
    <w:name w:val="Light List Accent 2"/>
    <w:basedOn w:val="12"/>
    <w:uiPriority w:val="61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76">
    <w:name w:val="Light List Accent 3"/>
    <w:basedOn w:val="12"/>
    <w:uiPriority w:val="61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77">
    <w:name w:val="Light List Accent 4"/>
    <w:basedOn w:val="12"/>
    <w:uiPriority w:val="61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78">
    <w:name w:val="Light List Accent 5"/>
    <w:basedOn w:val="12"/>
    <w:uiPriority w:val="61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79">
    <w:name w:val="Light List Accent 6"/>
    <w:basedOn w:val="12"/>
    <w:qFormat/>
    <w:uiPriority w:val="61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80">
    <w:name w:val="Light Grid"/>
    <w:basedOn w:val="12"/>
    <w:uiPriority w:val="62"/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81">
    <w:name w:val="Light Grid Accent 1"/>
    <w:basedOn w:val="12"/>
    <w:qFormat/>
    <w:uiPriority w:val="62"/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82">
    <w:name w:val="Light Grid Accent 2"/>
    <w:basedOn w:val="12"/>
    <w:qFormat/>
    <w:uiPriority w:val="62"/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83">
    <w:name w:val="Light Grid Accent 3"/>
    <w:basedOn w:val="12"/>
    <w:uiPriority w:val="62"/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84">
    <w:name w:val="Light Grid Accent 4"/>
    <w:basedOn w:val="12"/>
    <w:uiPriority w:val="62"/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85">
    <w:name w:val="Light Grid Accent 5"/>
    <w:basedOn w:val="12"/>
    <w:uiPriority w:val="62"/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86">
    <w:name w:val="Light Grid Accent 6"/>
    <w:basedOn w:val="12"/>
    <w:uiPriority w:val="62"/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87">
    <w:name w:val="Medium Shading 1"/>
    <w:basedOn w:val="12"/>
    <w:qFormat/>
    <w:uiPriority w:val="63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8">
    <w:name w:val="Medium Shading 1 Accent 1"/>
    <w:basedOn w:val="12"/>
    <w:uiPriority w:val="63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89">
    <w:name w:val="Medium Shading 1 Accent 2"/>
    <w:basedOn w:val="12"/>
    <w:uiPriority w:val="63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0">
    <w:name w:val="Medium Shading 1 Accent 3"/>
    <w:basedOn w:val="12"/>
    <w:qFormat/>
    <w:uiPriority w:val="63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1">
    <w:name w:val="Medium Shading 1 Accent 4"/>
    <w:basedOn w:val="12"/>
    <w:qFormat/>
    <w:uiPriority w:val="63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2">
    <w:name w:val="Medium Shading 1 Accent 5"/>
    <w:basedOn w:val="12"/>
    <w:qFormat/>
    <w:uiPriority w:val="63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3">
    <w:name w:val="Medium Shading 1 Accent 6"/>
    <w:basedOn w:val="12"/>
    <w:qFormat/>
    <w:uiPriority w:val="63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cPr>
        <w:tcBorders>
          <w:insideH w:val="nil"/>
          <w:insideV w:val="nil"/>
        </w:tcBorders>
      </w:tcPr>
    </w:tblStylePr>
  </w:style>
  <w:style w:type="table" w:styleId="94">
    <w:name w:val="Medium Shading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5">
    <w:name w:val="Medium Shading 2 Accent 1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6">
    <w:name w:val="Medium Shading 2 Accent 2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7">
    <w:name w:val="Medium Shading 2 Accent 3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8">
    <w:name w:val="Medium Shading 2 Accent 4"/>
    <w:basedOn w:val="12"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99">
    <w:name w:val="Medium Shading 2 Accent 5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0">
    <w:name w:val="Medium Shading 2 Accent 6"/>
    <w:basedOn w:val="12"/>
    <w:qFormat/>
    <w:uiPriority w:val="64"/>
    <w:tblPr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cPr>
        <w:shd w:val="clear" w:color="auto" w:fill="D7D7D7" w:themeFill="background1" w:themeFillShade="D8"/>
      </w:tcPr>
    </w:tblStylePr>
    <w:tblStylePr w:type="neCell"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101">
    <w:name w:val="Medium List 1"/>
    <w:basedOn w:val="1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cPr>
        <w:shd w:val="clear" w:color="auto" w:fill="BFBFBF" w:themeFill="text1" w:themeFillTint="3F"/>
      </w:tcPr>
    </w:tblStylePr>
    <w:tblStylePr w:type="band1Horz">
      <w:tcPr>
        <w:shd w:val="clear" w:color="auto" w:fill="BFBFBF" w:themeFill="text1" w:themeFillTint="3F"/>
      </w:tcPr>
    </w:tblStylePr>
  </w:style>
  <w:style w:type="table" w:styleId="102">
    <w:name w:val="Medium List 1 Accent 1"/>
    <w:basedOn w:val="12"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cPr>
        <w:shd w:val="clear" w:color="auto" w:fill="D3DFEE" w:themeFill="accent1" w:themeFillTint="3F"/>
      </w:tcPr>
    </w:tblStylePr>
    <w:tblStylePr w:type="band1Horz">
      <w:tcPr>
        <w:shd w:val="clear" w:color="auto" w:fill="D3DFEE" w:themeFill="accent1" w:themeFillTint="3F"/>
      </w:tcPr>
    </w:tblStylePr>
  </w:style>
  <w:style w:type="table" w:styleId="103">
    <w:name w:val="Medium List 1 Accent 2"/>
    <w:basedOn w:val="1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cPr>
        <w:shd w:val="clear" w:color="auto" w:fill="EFD3D3" w:themeFill="accent2" w:themeFillTint="3F"/>
      </w:tcPr>
    </w:tblStylePr>
    <w:tblStylePr w:type="band1Horz">
      <w:tcPr>
        <w:shd w:val="clear" w:color="auto" w:fill="EFD3D3" w:themeFill="accent2" w:themeFillTint="3F"/>
      </w:tcPr>
    </w:tblStylePr>
  </w:style>
  <w:style w:type="table" w:styleId="104">
    <w:name w:val="Medium List 1 Accent 3"/>
    <w:basedOn w:val="1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cPr>
        <w:shd w:val="clear" w:color="auto" w:fill="E6EED5" w:themeFill="accent3" w:themeFillTint="3F"/>
      </w:tcPr>
    </w:tblStylePr>
    <w:tblStylePr w:type="band1Horz">
      <w:tcPr>
        <w:shd w:val="clear" w:color="auto" w:fill="E6EED5" w:themeFill="accent3" w:themeFillTint="3F"/>
      </w:tcPr>
    </w:tblStylePr>
  </w:style>
  <w:style w:type="table" w:styleId="105">
    <w:name w:val="Medium List 1 Accent 4"/>
    <w:basedOn w:val="1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cPr>
        <w:shd w:val="clear" w:color="auto" w:fill="DFD8E8" w:themeFill="accent4" w:themeFillTint="3F"/>
      </w:tcPr>
    </w:tblStylePr>
    <w:tblStylePr w:type="band1Horz">
      <w:tcPr>
        <w:shd w:val="clear" w:color="auto" w:fill="DFD8E8" w:themeFill="accent4" w:themeFillTint="3F"/>
      </w:tcPr>
    </w:tblStylePr>
  </w:style>
  <w:style w:type="table" w:styleId="106">
    <w:name w:val="Medium List 1 Accent 5"/>
    <w:basedOn w:val="1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cPr>
        <w:shd w:val="clear" w:color="auto" w:fill="D2EAF0" w:themeFill="accent5" w:themeFillTint="3F"/>
      </w:tcPr>
    </w:tblStylePr>
    <w:tblStylePr w:type="band1Horz">
      <w:tcPr>
        <w:shd w:val="clear" w:color="auto" w:fill="D2EAF0" w:themeFill="accent5" w:themeFillTint="3F"/>
      </w:tcPr>
    </w:tblStylePr>
  </w:style>
  <w:style w:type="table" w:styleId="107">
    <w:name w:val="Medium List 1 Accent 6"/>
    <w:basedOn w:val="12"/>
    <w:qFormat/>
    <w:uiPriority w:val="65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cPr>
        <w:shd w:val="clear" w:color="auto" w:fill="FDE5D1" w:themeFill="accent6" w:themeFillTint="3F"/>
      </w:tcPr>
    </w:tblStylePr>
    <w:tblStylePr w:type="band1Horz">
      <w:tcPr>
        <w:shd w:val="clear" w:color="auto" w:fill="FDE5D1" w:themeFill="accent6" w:themeFillTint="3F"/>
      </w:tcPr>
    </w:tblStylePr>
  </w:style>
  <w:style w:type="table" w:styleId="108">
    <w:name w:val="Medium List 2"/>
    <w:basedOn w:val="1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09">
    <w:name w:val="Medium List 2 Accent 1"/>
    <w:basedOn w:val="12"/>
    <w:qFormat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0">
    <w:name w:val="Medium List 2 Accent 2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1">
    <w:name w:val="Medium List 2 Accent 3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2">
    <w:name w:val="Medium List 2 Accent 4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3">
    <w:name w:val="Medium List 2 Accent 5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4">
    <w:name w:val="Medium List 2 Accent 6"/>
    <w:basedOn w:val="12"/>
    <w:uiPriority w:val="66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cPr>
        <w:shd w:val="clear" w:color="auto" w:fill="FFFFFF" w:themeFill="background1"/>
      </w:tcPr>
    </w:tblStylePr>
    <w:tblStylePr w:type="swCell">
      <w:tcPr>
        <w:tcBorders>
          <w:top w:val="nil"/>
        </w:tcBorders>
      </w:tcPr>
    </w:tblStylePr>
  </w:style>
  <w:style w:type="table" w:styleId="115">
    <w:name w:val="Medium Grid 1"/>
    <w:basedOn w:val="12"/>
    <w:uiPriority w:val="67"/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16">
    <w:name w:val="Medium Grid 1 Accent 1"/>
    <w:basedOn w:val="12"/>
    <w:uiPriority w:val="67"/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17">
    <w:name w:val="Medium Grid 1 Accent 2"/>
    <w:basedOn w:val="12"/>
    <w:uiPriority w:val="67"/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18">
    <w:name w:val="Medium Grid 1 Accent 3"/>
    <w:basedOn w:val="12"/>
    <w:uiPriority w:val="67"/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19">
    <w:name w:val="Medium Grid 1 Accent 4"/>
    <w:basedOn w:val="12"/>
    <w:uiPriority w:val="67"/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20">
    <w:name w:val="Medium Grid 1 Accent 5"/>
    <w:basedOn w:val="12"/>
    <w:uiPriority w:val="67"/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21">
    <w:name w:val="Medium Grid 1 Accent 6"/>
    <w:basedOn w:val="12"/>
    <w:uiPriority w:val="67"/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  <w:style w:type="table" w:styleId="122">
    <w:name w:val="Medium Grid 2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3">
    <w:name w:val="Medium Grid 2 Accent 1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4">
    <w:name w:val="Medium Grid 2 Accent 2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5">
    <w:name w:val="Medium Grid 2 Accent 3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6">
    <w:name w:val="Medium Grid 2 Accent 4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7">
    <w:name w:val="Medium Grid 2 Accent 5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8">
    <w:name w:val="Medium Grid 2 Accent 6"/>
    <w:basedOn w:val="12"/>
    <w:uiPriority w:val="68"/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cPr>
        <w:shd w:val="clear" w:color="auto" w:fill="FFFFFF" w:themeFill="background1"/>
      </w:tcPr>
    </w:tblStylePr>
  </w:style>
  <w:style w:type="table" w:styleId="129">
    <w:name w:val="Medium Grid 3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30">
    <w:name w:val="Medium Grid 3 Accent 1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31">
    <w:name w:val="Medium Grid 3 Accent 2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32">
    <w:name w:val="Medium Grid 3 Accent 3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33">
    <w:name w:val="Medium Grid 3 Accent 4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34">
    <w:name w:val="Medium Grid 3 Accent 5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35">
    <w:name w:val="Medium Grid 3 Accent 6"/>
    <w:basedOn w:val="12"/>
    <w:uiPriority w:val="69"/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36">
    <w:name w:val="Dark List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000000" w:themeFill="tex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37">
    <w:name w:val="Dark List Accent 1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4F81BD" w:themeFill="accent1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38">
    <w:name w:val="Dark List Accent 2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C0504D" w:themeFill="accent2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39">
    <w:name w:val="Dark List Accent 3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9BBB59" w:themeFill="accent3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40">
    <w:name w:val="Dark List Accent 4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8064A2" w:themeFill="accent4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41">
    <w:name w:val="Dark List Accent 5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4BACC6" w:themeFill="accent5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42">
    <w:name w:val="Dark List Accent 6"/>
    <w:basedOn w:val="12"/>
    <w:uiPriority w:val="70"/>
    <w:rPr>
      <w:color w:val="FFFFFF" w:themeColor="background1"/>
      <w14:textFill>
        <w14:solidFill>
          <w14:schemeClr w14:val="bg1"/>
        </w14:solidFill>
      </w14:textFill>
    </w:rPr>
    <w:tcPr>
      <w:shd w:val="clear" w:color="auto" w:fill="F79646" w:themeFill="accent6"/>
    </w:tcPr>
    <w:tblStylePr w:type="firstRow">
      <w:rPr>
        <w:b/>
        <w:bCs/>
      </w:rPr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43">
    <w:name w:val="Colorful Shading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5E5E5" w:themeFill="tex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cPr>
        <w:shd w:val="clear" w:color="auto" w:fill="999999" w:themeFill="text1" w:themeFillTint="66"/>
      </w:tcPr>
    </w:tblStylePr>
    <w:tblStylePr w:type="band1Horz"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4">
    <w:name w:val="Colorful Shading Accent 1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cPr>
        <w:shd w:val="clear" w:color="auto" w:fill="B8CCE4" w:themeFill="accent1" w:themeFillTint="66"/>
      </w:tcPr>
    </w:tblStylePr>
    <w:tblStylePr w:type="band1Horz"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5">
    <w:name w:val="Colorful Shading Accent 2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cPr>
        <w:shd w:val="clear" w:color="auto" w:fill="E5B8B7" w:themeFill="accent2" w:themeFillTint="66"/>
      </w:tcPr>
    </w:tblStylePr>
    <w:tblStylePr w:type="band1Horz"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6">
    <w:name w:val="Colorful Shading Accent 3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cPr>
        <w:shd w:val="clear" w:color="auto" w:fill="D6E3BC" w:themeFill="accent3" w:themeFillTint="66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47">
    <w:name w:val="Colorful Shading Accent 4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5" w:themeFill="accent4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cPr>
        <w:shd w:val="clear" w:color="auto" w:fill="CCC0D9" w:themeFill="accent4" w:themeFillTint="66"/>
      </w:tcPr>
    </w:tblStylePr>
    <w:tblStylePr w:type="band1Horz"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8">
    <w:name w:val="Colorful Shading Accent 5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cPr>
        <w:shd w:val="clear" w:color="auto" w:fill="B6DDE8" w:themeFill="accent5" w:themeFillTint="66"/>
      </w:tcPr>
    </w:tblStylePr>
    <w:tblStylePr w:type="band1Horz"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49">
    <w:name w:val="Colorful Shading Accent 6"/>
    <w:basedOn w:val="12"/>
    <w:uiPriority w:val="71"/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cPr>
        <w:shd w:val="clear" w:color="auto" w:fill="FBD4B4" w:themeFill="accent6" w:themeFillTint="66"/>
      </w:tcPr>
    </w:tblStylePr>
    <w:tblStylePr w:type="band1Horz"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50">
    <w:name w:val="Colorful List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cPr>
        <w:shd w:val="clear" w:color="auto" w:fill="CCCCCC" w:themeFill="text1" w:themeFillTint="33"/>
      </w:tcPr>
    </w:tblStylePr>
  </w:style>
  <w:style w:type="table" w:styleId="151">
    <w:name w:val="Colorful List Accent 1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cPr>
        <w:shd w:val="clear" w:color="auto" w:fill="DBE5F1" w:themeFill="accent1" w:themeFillTint="33"/>
      </w:tcPr>
    </w:tblStylePr>
  </w:style>
  <w:style w:type="table" w:styleId="152">
    <w:name w:val="Colorful List Accent 2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cPr>
        <w:shd w:val="clear" w:color="auto" w:fill="F2DBDB" w:themeFill="accent2" w:themeFillTint="33"/>
      </w:tcPr>
    </w:tblStylePr>
  </w:style>
  <w:style w:type="table" w:styleId="153">
    <w:name w:val="Colorful List Accent 3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cPr>
        <w:shd w:val="clear" w:color="auto" w:fill="EAF1DD" w:themeFill="accent3" w:themeFillTint="33"/>
      </w:tcPr>
    </w:tblStylePr>
  </w:style>
  <w:style w:type="table" w:styleId="154">
    <w:name w:val="Colorful List Accent 4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cPr>
        <w:shd w:val="clear" w:color="auto" w:fill="E5DFEC" w:themeFill="accent4" w:themeFillTint="33"/>
      </w:tcPr>
    </w:tblStylePr>
  </w:style>
  <w:style w:type="table" w:styleId="155">
    <w:name w:val="Colorful List Accent 5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cPr>
        <w:shd w:val="clear" w:color="auto" w:fill="DAEEF3" w:themeFill="accent5" w:themeFillTint="33"/>
      </w:tcPr>
    </w:tblStylePr>
  </w:style>
  <w:style w:type="table" w:styleId="156">
    <w:name w:val="Colorful List Accent 6"/>
    <w:basedOn w:val="12"/>
    <w:uiPriority w:val="72"/>
    <w:rPr>
      <w:color w:val="000000" w:themeColor="text1"/>
      <w14:textFill>
        <w14:solidFill>
          <w14:schemeClr w14:val="tx1"/>
        </w14:solidFill>
      </w14:textFill>
    </w:r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cPr>
        <w:shd w:val="clear" w:color="auto" w:fill="FDE9D9" w:themeFill="accent6" w:themeFillTint="33"/>
      </w:tcPr>
    </w:tblStylePr>
  </w:style>
  <w:style w:type="table" w:styleId="157">
    <w:name w:val="Colorful Grid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000000" w:themeFill="text1" w:themeFillShade="BF"/>
      </w:tcPr>
    </w:tblStylePr>
    <w:tblStylePr w:type="band1Vert">
      <w:tcPr>
        <w:shd w:val="clear" w:color="auto" w:fill="7F7F7F" w:themeFill="text1" w:themeFillTint="7F"/>
      </w:tcPr>
    </w:tblStylePr>
    <w:tblStylePr w:type="band1Horz">
      <w:tcPr>
        <w:shd w:val="clear" w:color="auto" w:fill="7F7F7F" w:themeFill="text1" w:themeFillTint="7F"/>
      </w:tcPr>
    </w:tblStylePr>
  </w:style>
  <w:style w:type="table" w:styleId="158">
    <w:name w:val="Colorful Grid Accent 1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66091" w:themeFill="accent1" w:themeFillShade="BF"/>
      </w:tcPr>
    </w:tblStylePr>
    <w:tblStylePr w:type="band1Vert">
      <w:tcPr>
        <w:shd w:val="clear" w:color="auto" w:fill="A7C0DE" w:themeFill="accent1" w:themeFillTint="7F"/>
      </w:tcPr>
    </w:tblStylePr>
    <w:tblStylePr w:type="band1Horz">
      <w:tcPr>
        <w:shd w:val="clear" w:color="auto" w:fill="A7C0DE" w:themeFill="accent1" w:themeFillTint="7F"/>
      </w:tcPr>
    </w:tblStylePr>
  </w:style>
  <w:style w:type="table" w:styleId="159">
    <w:name w:val="Colorful Grid Accent 2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943734" w:themeFill="accent2" w:themeFillShade="BF"/>
      </w:tcPr>
    </w:tblStylePr>
    <w:tblStylePr w:type="band1Vert">
      <w:tcPr>
        <w:shd w:val="clear" w:color="auto" w:fill="DFA7A6" w:themeFill="accent2" w:themeFillTint="7F"/>
      </w:tcPr>
    </w:tblStylePr>
    <w:tblStylePr w:type="band1Horz">
      <w:tcPr>
        <w:shd w:val="clear" w:color="auto" w:fill="DFA7A6" w:themeFill="accent2" w:themeFillTint="7F"/>
      </w:tcPr>
    </w:tblStylePr>
  </w:style>
  <w:style w:type="table" w:styleId="160">
    <w:name w:val="Colorful Grid Accent 3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76923C" w:themeFill="accent3" w:themeFillShade="BF"/>
      </w:tcPr>
    </w:tblStylePr>
    <w:tblStylePr w:type="band1Vert">
      <w:tcPr>
        <w:shd w:val="clear" w:color="auto" w:fill="CDDDAC" w:themeFill="accent3" w:themeFillTint="7F"/>
      </w:tcPr>
    </w:tblStylePr>
    <w:tblStylePr w:type="band1Horz">
      <w:tcPr>
        <w:shd w:val="clear" w:color="auto" w:fill="CDDDAC" w:themeFill="accent3" w:themeFillTint="7F"/>
      </w:tcPr>
    </w:tblStylePr>
  </w:style>
  <w:style w:type="table" w:styleId="161">
    <w:name w:val="Colorful Grid Accent 4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5F497A" w:themeFill="accent4" w:themeFillShade="BF"/>
      </w:tcPr>
    </w:tblStylePr>
    <w:tblStylePr w:type="band1Vert">
      <w:tcPr>
        <w:shd w:val="clear" w:color="auto" w:fill="BFB1D0" w:themeFill="accent4" w:themeFillTint="7F"/>
      </w:tcPr>
    </w:tblStylePr>
    <w:tblStylePr w:type="band1Horz">
      <w:tcPr>
        <w:shd w:val="clear" w:color="auto" w:fill="BFB1D0" w:themeFill="accent4" w:themeFillTint="7F"/>
      </w:tcPr>
    </w:tblStylePr>
  </w:style>
  <w:style w:type="table" w:styleId="162">
    <w:name w:val="Colorful Grid Accent 5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31849B" w:themeFill="accent5" w:themeFillShade="BF"/>
      </w:tcPr>
    </w:tblStylePr>
    <w:tblStylePr w:type="band1Vert">
      <w:tcPr>
        <w:shd w:val="clear" w:color="auto" w:fill="A5D5E2" w:themeFill="accent5" w:themeFillTint="7F"/>
      </w:tcPr>
    </w:tblStylePr>
    <w:tblStylePr w:type="band1Horz">
      <w:tcPr>
        <w:shd w:val="clear" w:color="auto" w:fill="A5D5E2" w:themeFill="accent5" w:themeFillTint="7F"/>
      </w:tcPr>
    </w:tblStylePr>
  </w:style>
  <w:style w:type="table" w:styleId="163">
    <w:name w:val="Colorful Grid Accent 6"/>
    <w:basedOn w:val="12"/>
    <w:uiPriority w:val="73"/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cPr>
        <w:shd w:val="clear" w:color="auto" w:fill="E36C09" w:themeFill="accent6" w:themeFillShade="BF"/>
      </w:tcPr>
    </w:tblStylePr>
    <w:tblStylePr w:type="band1Vert">
      <w:tcPr>
        <w:shd w:val="clear" w:color="auto" w:fill="FBCAA2" w:themeFill="accent6" w:themeFillTint="7F"/>
      </w:tcPr>
    </w:tblStylePr>
    <w:tblStylePr w:type="band1Horz">
      <w:tcPr>
        <w:shd w:val="clear" w:color="auto" w:fill="FBCAA2" w:themeFill="accent6" w:themeFillTint="7F"/>
      </w:tcPr>
    </w:tblStylePr>
  </w:style>
</w:styles>
</file>

<file path=word/_rels/document.xml.rels><?xml version='1.0' encoding='UTF-8' standalone='yes'?>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10" Type="http://schemas.openxmlformats.org/officeDocument/2006/relationships/hyperlink" Target="https://benjamins.com/catalog/rro/guidelines" TargetMode="External"/><Relationship Id="rId11" Type="http://schemas.openxmlformats.org/officeDocument/2006/relationships/hyperlink" Target="https://www.editorialmanager.com/rr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232854C-EEB5-E149-809D-1354BB56C1F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952</Words>
  <Characters>5917</Characters>
  <Lines>40</Lines>
  <Paragraphs>11</Paragraphs>
  <TotalTime>0</TotalTime>
  <ScaleCrop>false</ScaleCrop>
  <LinksUpToDate>false</LinksUpToDate>
  <CharactersWithSpaces>6821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carlo</dc:creator>
  <cp:lastModifiedBy>Carlos Nogueira</cp:lastModifiedBy>
  <dcterms:modified xsi:type="dcterms:W3CDTF">2026-08-18T18:40:06Z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eyJoZGlkIjoiMzA2Mjg5ZjZkMjdhNmYzZDJmYTA4MzEwN2EyYTk2ZjkiLCJ1c2VySWQiOiIzNzI4MjA4NDkwNTk5In0=</vt:lpwstr>
  </property>
  <property fmtid="{D5CDD505-2E9C-101B-9397-08002B2CF9AE}" pid="3" name="KSOProductBuildVer">
    <vt:lpwstr>2070-12.1.0.28032</vt:lpwstr>
  </property>
  <property fmtid="{D5CDD505-2E9C-101B-9397-08002B2CF9AE}" pid="4" name="ICV">
    <vt:lpwstr>BB43F74C74984E9AB1A0143DB7C0DF5B_12</vt:lpwstr>
  </property>
</Properties>
</file>