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A1FA4">
      <w:pPr>
        <w:jc w:val="center"/>
        <w:rPr>
          <w:lang w:val="pt-PT"/>
        </w:rPr>
      </w:pPr>
      <w:r>
        <w:rPr>
          <w:b/>
          <w:sz w:val="26"/>
          <w:lang w:val="en-GB"/>
        </w:rPr>
        <w:t>CALL FOR PAPERS</w:t>
      </w:r>
    </w:p>
    <w:p w14:paraId="4BF7ABE2">
      <w:pPr>
        <w:spacing w:after="100"/>
        <w:jc w:val="center"/>
        <w:rPr>
          <w:i/>
          <w:iCs/>
          <w:lang w:val="pt-PT"/>
        </w:rPr>
      </w:pPr>
      <w:r>
        <w:rPr>
          <w:b/>
          <w:i/>
          <w:lang w:val="en-GB"/>
        </w:rPr>
        <w:t>Writing Evil in Romance Literatures: Ethics, Politics, and Contemporaneity</w:t>
      </w:r>
    </w:p>
    <w:p w14:paraId="39650790">
      <w:pPr>
        <w:spacing w:after="120"/>
        <w:ind w:firstLine="397"/>
        <w:jc w:val="both"/>
        <w:rPr>
          <w:lang w:val="pt-PT"/>
        </w:rPr>
      </w:pPr>
    </w:p>
    <w:p w14:paraId="27A492A5">
      <w:pPr>
        <w:spacing w:after="120"/>
        <w:ind w:firstLine="720"/>
        <w:jc w:val="both"/>
        <w:rPr>
          <w:lang w:val="pt-PT"/>
        </w:rPr>
      </w:pPr>
      <w:r>
        <w:rPr>
          <w:lang w:val="en-GB"/>
        </w:rPr>
        <w:t>The problem of evil has always traversed philosophical, religious, ethical, and aesthetic reflection. While philosophy has sought to interrogate its origin, nature, and possibility — from metaphysical and moral evil to political violence and the historical forms of barbarism — literature has made it one of its most enduring fields for investigating the human condition.</w:t>
      </w:r>
    </w:p>
    <w:p w14:paraId="35DBF298">
      <w:pPr>
        <w:spacing w:after="120"/>
        <w:ind w:firstLine="720"/>
        <w:jc w:val="both"/>
        <w:rPr>
          <w:lang w:val="pt-PT"/>
        </w:rPr>
      </w:pPr>
      <w:r>
        <w:rPr>
          <w:lang w:val="en-GB"/>
        </w:rPr>
        <w:t>Today, this question acquires particular urgency. Wars, genocides, totalitarianisms, colonialisms, inequalities, forms of exclusion and dehumanization, gender-based violence, environmental destruction, new forms of surveillance and control, fundamentalisms, and crises of democracy compel us to rethink not only the experience of evil, but also the ways in which literature represents, interrogates, denounces, or problematizes it.</w:t>
      </w:r>
    </w:p>
    <w:p w14:paraId="452CC076">
      <w:pPr>
        <w:spacing w:after="120"/>
        <w:ind w:firstLine="720"/>
        <w:jc w:val="both"/>
        <w:rPr>
          <w:lang w:val="pt-PT"/>
        </w:rPr>
      </w:pPr>
      <w:r>
        <w:rPr>
          <w:lang w:val="en-GB"/>
        </w:rPr>
        <w:t>Rather than reproducing a simple opposition between good and evil, contemporary literary writing tends to confront us with zones of moral ambiguity, limit situations, and characters whose responsibility cannot easily be reduced to stable categories. Evil may appear as an individual act or a collective phenomenon, as the product of particular historical and political structures, as an intimate experience, as everyday violence, or as an apparently banal and normalized reality. It may also take symbolic, mythical, religious, grotesque, ironic, satirical, or dystopian forms.</w:t>
      </w:r>
    </w:p>
    <w:p w14:paraId="4361D2F3">
      <w:pPr>
        <w:spacing w:after="120"/>
        <w:ind w:firstLine="720"/>
        <w:jc w:val="both"/>
        <w:rPr>
          <w:b w:val="0"/>
          <w:bCs w:val="0"/>
          <w:lang w:val="pt-PT"/>
        </w:rPr>
      </w:pPr>
      <w:r>
        <w:rPr>
          <w:lang w:val="en-GB"/>
        </w:rPr>
        <w:t>The present special issue, “Writing Evil in Romance Literatures: Ethics, Politics, and Contemporaneity”, seeks to bring together studies that critically examine figurations of evil in Romance-language literatures, privileging approaches capable of articulating literary analysis with philosophical, ethical, political, historical, and cultural questions. In this way, the special issue aims to explore the diversity of forms through which different literary traditions of the Romance-language world have represented, interrogated, and problematized evil.</w:t>
      </w:r>
    </w:p>
    <w:p w14:paraId="00724725">
      <w:pPr>
        <w:spacing w:after="120"/>
        <w:ind w:firstLine="720"/>
        <w:jc w:val="both"/>
        <w:rPr>
          <w:lang w:val="pt-PT"/>
        </w:rPr>
      </w:pPr>
      <w:r>
        <w:rPr>
          <w:lang w:val="en-GB"/>
        </w:rPr>
        <w:t>Of particular interest is the question of how literature not only represents evil but also constitutes a privileged space for interrogating its causes, its agents, its victims and witnesses, as well as the limits of individual and collective responsibility. What can literature say about evil that other discourses cannot say in the same way? How does literary language render visible and comprehensible — or, conversely, radically incomprehensible — the experience of violence and cruelty? To what extent does narrating evil also entail ethical problems of representation?</w:t>
      </w:r>
    </w:p>
    <w:p w14:paraId="20D0AEE6">
      <w:pPr>
        <w:spacing w:after="120"/>
        <w:ind w:firstLine="720"/>
        <w:jc w:val="both"/>
        <w:rPr>
          <w:lang w:val="pt-PT"/>
        </w:rPr>
      </w:pPr>
      <w:r>
        <w:rPr>
          <w:lang w:val="en-GB"/>
        </w:rPr>
        <w:t>The reference to “contemporaneity” should not, in this context, be understood as imposing a rigid chronological boundary. Rather than exclusively designating a delimited historical period, the term identifies a horizon of problems, experiences, and questions that continue to shape our present. Studies of works from earlier periods — particularly the twentieth and twenty-first centuries — will therefore also be relevant whenever they make it possible to reflect on issues whose present-day relevance remains decisive, such as political violence, war, genocide, totalitarianism, colonialism, individual and collective responsibility, memory, trauma, exclusion, or dehumanization. Contemporaneity is thus understood here primarily as a critical condition and a field of inquiry, rather than as a strictly chronological delimitation of the corpus.</w:t>
      </w:r>
    </w:p>
    <w:p w14:paraId="277EFAD0">
      <w:pPr>
        <w:spacing w:after="120"/>
        <w:ind w:firstLine="720"/>
        <w:jc w:val="both"/>
        <w:rPr>
          <w:lang w:val="pt-PT"/>
        </w:rPr>
      </w:pPr>
      <w:r>
        <w:rPr>
          <w:lang w:val="en-GB"/>
        </w:rPr>
        <w:t>Researchers in Romance Literatures, Literary Studies, Comparative Literature, Philosophy, Aesthetics, Ethics, Cultural Studies, and related fields are invited to submit original articles.</w:t>
      </w:r>
    </w:p>
    <w:p w14:paraId="38A10D7E">
      <w:pPr>
        <w:spacing w:after="120"/>
        <w:ind w:firstLine="720"/>
        <w:jc w:val="both"/>
        <w:rPr>
          <w:lang w:val="pt-PT"/>
        </w:rPr>
      </w:pPr>
      <w:r>
        <w:rPr>
          <w:lang w:val="en-GB"/>
        </w:rPr>
        <w:t>Among other possibilities, we particularly welcome work on the following topics:</w:t>
      </w:r>
    </w:p>
    <w:p w14:paraId="273644DB">
      <w:pPr>
        <w:pStyle w:val="21"/>
        <w:spacing w:after="40"/>
        <w:ind w:left="454" w:hanging="142"/>
        <w:rPr>
          <w:lang w:val="pt-PT"/>
        </w:rPr>
      </w:pPr>
      <w:r>
        <w:rPr>
          <w:lang w:val="en-GB"/>
        </w:rPr>
        <w:t>figurations of evil and violence in literature;</w:t>
      </w:r>
    </w:p>
    <w:p w14:paraId="4034001B">
      <w:pPr>
        <w:pStyle w:val="21"/>
        <w:spacing w:after="40"/>
        <w:ind w:left="454" w:hanging="142"/>
        <w:rPr>
          <w:lang w:val="pt-PT"/>
        </w:rPr>
      </w:pPr>
      <w:r>
        <w:rPr>
          <w:lang w:val="en-GB"/>
        </w:rPr>
        <w:t>literature and the philosophy of evil;</w:t>
      </w:r>
    </w:p>
    <w:p w14:paraId="2B86E51D">
      <w:pPr>
        <w:pStyle w:val="21"/>
        <w:spacing w:after="40"/>
        <w:ind w:left="454" w:hanging="142"/>
        <w:rPr>
          <w:lang w:val="pt-PT"/>
        </w:rPr>
      </w:pPr>
      <w:r>
        <w:rPr>
          <w:lang w:val="en-GB"/>
        </w:rPr>
        <w:t>responsibility, guilt, innocence, and judgment;</w:t>
      </w:r>
    </w:p>
    <w:p w14:paraId="5EFB6D7D">
      <w:pPr>
        <w:pStyle w:val="21"/>
        <w:spacing w:after="40"/>
        <w:ind w:left="454" w:hanging="142"/>
        <w:rPr>
          <w:lang w:val="pt-PT"/>
        </w:rPr>
      </w:pPr>
      <w:r>
        <w:rPr>
          <w:lang w:val="en-GB"/>
        </w:rPr>
        <w:t>victim, perpetrator, accomplice, and witness;</w:t>
      </w:r>
    </w:p>
    <w:p w14:paraId="18F0E6DB">
      <w:pPr>
        <w:pStyle w:val="21"/>
        <w:spacing w:after="40"/>
        <w:ind w:left="454" w:hanging="142"/>
        <w:rPr>
          <w:lang w:val="pt-PT"/>
        </w:rPr>
      </w:pPr>
      <w:r>
        <w:rPr>
          <w:lang w:val="en-GB"/>
        </w:rPr>
        <w:t>banality, everydayness, and normalization of evil;</w:t>
      </w:r>
    </w:p>
    <w:p w14:paraId="22A00958">
      <w:pPr>
        <w:pStyle w:val="21"/>
        <w:spacing w:after="40"/>
        <w:ind w:left="454" w:hanging="142"/>
      </w:pPr>
      <w:r>
        <w:rPr>
          <w:lang w:val="en-GB"/>
        </w:rPr>
        <w:t>evil, power, and institutions;</w:t>
      </w:r>
    </w:p>
    <w:p w14:paraId="6FB1A88F">
      <w:pPr>
        <w:pStyle w:val="21"/>
        <w:spacing w:after="40"/>
        <w:ind w:left="454" w:hanging="142"/>
        <w:rPr>
          <w:lang w:val="pt-PT"/>
        </w:rPr>
      </w:pPr>
      <w:r>
        <w:rPr>
          <w:lang w:val="en-GB"/>
        </w:rPr>
        <w:t>totalitarianism, authoritarianism, and political violence;</w:t>
      </w:r>
    </w:p>
    <w:p w14:paraId="1F724544">
      <w:pPr>
        <w:pStyle w:val="21"/>
        <w:spacing w:after="40"/>
        <w:ind w:left="454" w:hanging="142"/>
      </w:pPr>
      <w:r>
        <w:rPr>
          <w:lang w:val="en-GB"/>
        </w:rPr>
        <w:t>war, genocide, and memory;</w:t>
      </w:r>
    </w:p>
    <w:p w14:paraId="01009432">
      <w:pPr>
        <w:pStyle w:val="21"/>
        <w:spacing w:after="40"/>
        <w:ind w:left="454" w:hanging="142"/>
        <w:rPr>
          <w:color w:val="auto"/>
          <w:lang w:val="pt-PT"/>
        </w:rPr>
      </w:pPr>
      <w:r>
        <w:rPr>
          <w:lang w:val="en-GB"/>
        </w:rPr>
        <w:t>faces of war and the symbolic expression of trauma;</w:t>
      </w:r>
    </w:p>
    <w:p w14:paraId="706AE003">
      <w:pPr>
        <w:pStyle w:val="21"/>
        <w:spacing w:after="40"/>
        <w:ind w:left="454" w:hanging="142"/>
        <w:rPr>
          <w:lang w:val="pt-PT"/>
        </w:rPr>
      </w:pPr>
      <w:r>
        <w:rPr>
          <w:lang w:val="en-GB"/>
        </w:rPr>
        <w:t>colonialism, postcolonialism, and historical forms of violence;</w:t>
      </w:r>
    </w:p>
    <w:p w14:paraId="238311C0">
      <w:pPr>
        <w:pStyle w:val="21"/>
        <w:spacing w:after="40"/>
        <w:ind w:left="454" w:hanging="142"/>
        <w:rPr>
          <w:lang w:val="pt-PT"/>
        </w:rPr>
      </w:pPr>
      <w:r>
        <w:rPr>
          <w:lang w:val="en-GB"/>
        </w:rPr>
        <w:t>gender-based violence and relations of domination;</w:t>
      </w:r>
    </w:p>
    <w:p w14:paraId="2AB5765E">
      <w:pPr>
        <w:pStyle w:val="21"/>
        <w:spacing w:after="40"/>
        <w:ind w:left="454" w:hanging="142"/>
        <w:rPr>
          <w:lang w:val="pt-PT"/>
        </w:rPr>
      </w:pPr>
      <w:r>
        <w:rPr>
          <w:lang w:val="en-GB"/>
        </w:rPr>
        <w:t>religion, theodicy, sin, and the problem of evil;</w:t>
      </w:r>
    </w:p>
    <w:p w14:paraId="7906A100">
      <w:pPr>
        <w:pStyle w:val="21"/>
        <w:spacing w:after="40"/>
        <w:ind w:left="454" w:hanging="142"/>
      </w:pPr>
      <w:r>
        <w:rPr>
          <w:lang w:val="en-GB"/>
        </w:rPr>
        <w:t>the body, suffering, and vulnerability;</w:t>
      </w:r>
    </w:p>
    <w:p w14:paraId="6370E1E3">
      <w:pPr>
        <w:pStyle w:val="21"/>
        <w:spacing w:after="40"/>
        <w:ind w:left="454" w:hanging="142"/>
      </w:pPr>
      <w:r>
        <w:rPr>
          <w:lang w:val="en-GB"/>
        </w:rPr>
        <w:t>exclusion, otherness, and dehumanization;</w:t>
      </w:r>
    </w:p>
    <w:p w14:paraId="67A9FD2B">
      <w:pPr>
        <w:pStyle w:val="21"/>
        <w:spacing w:after="40"/>
        <w:ind w:left="454" w:hanging="142"/>
        <w:rPr>
          <w:lang w:val="pt-PT"/>
        </w:rPr>
      </w:pPr>
      <w:r>
        <w:rPr>
          <w:lang w:val="en-GB"/>
        </w:rPr>
        <w:t>dystopia, catastrophe, and imaginaries of the end;</w:t>
      </w:r>
    </w:p>
    <w:p w14:paraId="7FC3C308">
      <w:pPr>
        <w:pStyle w:val="21"/>
        <w:spacing w:after="40"/>
        <w:ind w:left="454" w:hanging="142"/>
        <w:rPr>
          <w:lang w:val="pt-PT"/>
        </w:rPr>
      </w:pPr>
      <w:r>
        <w:rPr>
          <w:lang w:val="en-GB"/>
        </w:rPr>
        <w:t>evil, nature, and ecological crisis;</w:t>
      </w:r>
    </w:p>
    <w:p w14:paraId="14E022F3">
      <w:pPr>
        <w:pStyle w:val="21"/>
        <w:spacing w:after="40"/>
        <w:ind w:left="454" w:hanging="142"/>
        <w:rPr>
          <w:lang w:val="pt-PT"/>
        </w:rPr>
      </w:pPr>
      <w:r>
        <w:rPr>
          <w:lang w:val="en-GB"/>
        </w:rPr>
        <w:t>irony, humour, the grotesque, and representations of evil;</w:t>
      </w:r>
    </w:p>
    <w:p w14:paraId="3B547939">
      <w:pPr>
        <w:pStyle w:val="21"/>
        <w:spacing w:after="40"/>
        <w:ind w:left="454" w:hanging="142"/>
        <w:rPr>
          <w:lang w:val="pt-PT"/>
        </w:rPr>
      </w:pPr>
      <w:r>
        <w:rPr>
          <w:lang w:val="en-GB"/>
        </w:rPr>
        <w:t>trauma, memory, and postmemory;</w:t>
      </w:r>
    </w:p>
    <w:p w14:paraId="6A49B89F">
      <w:pPr>
        <w:pStyle w:val="21"/>
        <w:spacing w:after="40"/>
        <w:ind w:left="454" w:hanging="142"/>
        <w:rPr>
          <w:lang w:val="pt-PT"/>
        </w:rPr>
      </w:pPr>
      <w:r>
        <w:rPr>
          <w:lang w:val="en-GB"/>
        </w:rPr>
        <w:t>ethics of the representation of violence;</w:t>
      </w:r>
    </w:p>
    <w:p w14:paraId="6793EC63">
      <w:pPr>
        <w:pStyle w:val="21"/>
        <w:spacing w:after="40"/>
        <w:ind w:left="454" w:hanging="142"/>
      </w:pPr>
      <w:r>
        <w:rPr>
          <w:lang w:val="en-GB"/>
        </w:rPr>
        <w:t>language, silence, and unrepresentability;</w:t>
      </w:r>
    </w:p>
    <w:p w14:paraId="61806312">
      <w:pPr>
        <w:pStyle w:val="21"/>
        <w:spacing w:after="40"/>
        <w:ind w:left="454" w:hanging="142"/>
      </w:pPr>
      <w:r>
        <w:rPr>
          <w:lang w:val="en-GB"/>
        </w:rPr>
        <w:t>literature, testimony, and responsibility;</w:t>
      </w:r>
    </w:p>
    <w:p w14:paraId="5A2FA762">
      <w:pPr>
        <w:pStyle w:val="21"/>
        <w:spacing w:after="40"/>
        <w:ind w:left="454" w:hanging="142"/>
        <w:rPr>
          <w:lang w:val="pt-PT"/>
        </w:rPr>
      </w:pPr>
      <w:r>
        <w:rPr>
          <w:lang w:val="en-GB"/>
        </w:rPr>
        <w:t>morally ambiguous characters and the crisis of the categories of good and evil;</w:t>
      </w:r>
    </w:p>
    <w:p w14:paraId="22DA61BA">
      <w:pPr>
        <w:pStyle w:val="21"/>
        <w:spacing w:after="40"/>
        <w:ind w:left="454" w:hanging="142"/>
        <w:rPr>
          <w:lang w:val="pt-PT"/>
        </w:rPr>
      </w:pPr>
      <w:r>
        <w:rPr>
          <w:lang w:val="en-GB"/>
        </w:rPr>
        <w:t>contemporary forms of resistance to evil.</w:t>
      </w:r>
    </w:p>
    <w:p w14:paraId="18F680F2">
      <w:pPr>
        <w:numPr>
          <w:ilvl w:val="0"/>
          <w:numId w:val="0"/>
        </w:numPr>
        <w:spacing w:after="40"/>
        <w:ind w:left="454"/>
        <w:rPr>
          <w:lang w:val="pt-PT"/>
        </w:rPr>
      </w:pPr>
    </w:p>
    <w:p w14:paraId="47B79459">
      <w:pPr>
        <w:spacing w:after="120"/>
        <w:ind w:firstLine="720"/>
        <w:jc w:val="both"/>
        <w:rPr>
          <w:lang w:val="pt-PT"/>
        </w:rPr>
      </w:pPr>
      <w:r>
        <w:rPr>
          <w:lang w:val="en-GB"/>
        </w:rPr>
        <w:t>The special issue will welcome studies focused on a single work or author, as well as comparative and transdisciplinary approaches. Proposals that bring literature into dialogue with philosophy and with thinkers who, in different ways, have problematized evil, violence, responsibility, guilt, and the human condition will also be particularly valued.</w:t>
      </w:r>
    </w:p>
    <w:p w14:paraId="1DB82CD6">
      <w:pPr>
        <w:spacing w:after="120"/>
        <w:ind w:firstLine="397"/>
        <w:jc w:val="both"/>
        <w:rPr>
          <w:b w:val="0"/>
          <w:bCs w:val="0"/>
          <w:lang w:val="pt-PT"/>
        </w:rPr>
      </w:pPr>
      <w:r>
        <w:rPr>
          <w:lang w:val="en-GB"/>
        </w:rPr>
        <w:t xml:space="preserve">Without seeking to establish a closed </w:t>
      </w:r>
      <w:r>
        <w:rPr>
          <w:i/>
          <w:lang w:val="en-GB"/>
        </w:rPr>
        <w:t>corpus</w:t>
      </w:r>
      <w:r>
        <w:rPr>
          <w:lang w:val="en-GB"/>
        </w:rPr>
        <w:t xml:space="preserve">, the special issue may include studies of works from different Romance-language literatures, across distinct periods and cultural contexts, in order to foster a plural reflection on the aesthetic, ethical, and political forms through which literature thinks evil and addresses our present. Comparative approaches that place these literatures in dialogue with one another or with other literary and cultural traditions will also be welcome — for purely illustrative purposes, in pairings such as Camus and Saramago, Primo Levi and Jorge Semprún, or Saramago and Kafka — provided that a Romance-language </w:t>
      </w:r>
      <w:r>
        <w:rPr>
          <w:i/>
          <w:lang w:val="en-GB"/>
        </w:rPr>
        <w:t>corpus</w:t>
      </w:r>
      <w:r>
        <w:rPr>
          <w:lang w:val="en-GB"/>
        </w:rPr>
        <w:t xml:space="preserve"> remains a central element of the analysis.</w:t>
      </w:r>
    </w:p>
    <w:p w14:paraId="7C805377">
      <w:pPr>
        <w:spacing w:before="200"/>
        <w:rPr>
          <w:lang w:val="pt-PT"/>
        </w:rPr>
      </w:pPr>
      <w:r>
        <w:rPr>
          <w:b/>
          <w:lang w:val="en-GB"/>
        </w:rPr>
        <w:t>Submission</w:t>
      </w:r>
    </w:p>
    <w:p w14:paraId="42ADA2A7">
      <w:pPr>
        <w:spacing w:after="80"/>
        <w:rPr>
          <w:b w:val="0"/>
          <w:bCs w:val="0"/>
          <w:lang w:val="pt-PT"/>
        </w:rPr>
      </w:pPr>
      <w:r>
        <w:rPr>
          <w:b w:val="0"/>
          <w:bCs w:val="0"/>
          <w:lang w:val="en-GB"/>
        </w:rPr>
        <w:t xml:space="preserve">Articles must be original and comply with the editorial guidelines of </w:t>
      </w:r>
      <w:r>
        <w:rPr>
          <w:b w:val="0"/>
          <w:bCs w:val="0"/>
          <w:i/>
          <w:lang w:val="en-GB"/>
        </w:rPr>
        <w:t>Revue Romane</w:t>
      </w:r>
      <w:r>
        <w:rPr>
          <w:b w:val="0"/>
          <w:bCs w:val="0"/>
          <w:lang w:val="en-GB"/>
        </w:rPr>
        <w:t>. All articles will be subject to peer review in accordance with the journal’s editorial procedures.</w:t>
      </w:r>
    </w:p>
    <w:p w14:paraId="1624E2C4">
      <w:pPr>
        <w:spacing w:after="80"/>
        <w:rPr>
          <w:highlight w:val="yellow"/>
          <w:lang w:val="pt-PT"/>
        </w:rPr>
      </w:pPr>
      <w:r>
        <w:rPr>
          <w:b/>
          <w:i w:val="0"/>
        </w:rPr>
        <w:t xml:space="preserve">Submission period: </w:t>
      </w:r>
      <w:r>
        <w:rPr>
          <w:b w:val="0"/>
          <w:i w:val="0"/>
        </w:rPr>
        <w:t>between 1 February and 15 April 2027.</w:t>
      </w:r>
    </w:p>
    <w:p w14:paraId="0648580D">
      <w:pPr>
        <w:spacing w:after="80"/>
        <w:rPr>
          <w:lang w:val="pt-PT"/>
        </w:rPr>
      </w:pPr>
      <w:r>
        <w:rPr>
          <w:b/>
          <w:i w:val="0"/>
        </w:rPr>
        <w:t xml:space="preserve">Expected publication: </w:t>
      </w:r>
      <w:r>
        <w:rPr>
          <w:b w:val="0"/>
          <w:i w:val="0"/>
        </w:rPr>
        <w:t>early 2028.</w:t>
      </w:r>
    </w:p>
    <w:p w14:paraId="1FFBB1D9">
      <w:pPr>
        <w:spacing w:after="80"/>
        <w:rPr>
          <w:b w:val="0"/>
          <w:bCs/>
          <w:lang w:val="pt-PT"/>
        </w:rPr>
      </w:pPr>
      <w:r>
        <w:rPr>
          <w:b/>
          <w:i w:val="0"/>
        </w:rPr>
        <w:t xml:space="preserve">Article length: </w:t>
      </w:r>
      <w:r>
        <w:rPr>
          <w:b w:val="0"/>
          <w:i w:val="0"/>
        </w:rPr>
        <w:t xml:space="preserve">in accordance with </w:t>
      </w:r>
      <w:r>
        <w:rPr>
          <w:b w:val="0"/>
          <w:i/>
        </w:rPr>
        <w:t>Revue Romane</w:t>
      </w:r>
      <w:r>
        <w:rPr>
          <w:b w:val="0"/>
          <w:i w:val="0"/>
        </w:rPr>
        <w:t xml:space="preserve">’s editorial guidelines, see: </w:t>
      </w:r>
      <w:hyperlink r:id="rId10">
        <w:r>
          <w:rPr>
            <w:color w:val="0563C1"/>
            <w:u w:val="single"/>
          </w:rPr>
          <w:t>https://benjamins.com/catalog/rro/guidelines</w:t>
        </w:r>
      </w:hyperlink>
      <w:r>
        <w:rPr>
          <w:b w:val="0"/>
          <w:i w:val="0"/>
        </w:rPr>
        <w:t>.</w:t>
      </w:r>
    </w:p>
    <w:p w14:paraId="37AD66A9">
      <w:pPr>
        <w:spacing w:after="80"/>
        <w:rPr>
          <w:b w:val="0"/>
          <w:bCs/>
          <w:lang w:val="pt-PT"/>
        </w:rPr>
      </w:pPr>
      <w:r>
        <w:rPr>
          <w:b/>
          <w:i w:val="0"/>
        </w:rPr>
        <w:t xml:space="preserve">Languages accepted: </w:t>
      </w:r>
      <w:r>
        <w:rPr>
          <w:b w:val="0"/>
          <w:i w:val="0"/>
        </w:rPr>
        <w:t>Romance languages and English.</w:t>
      </w:r>
    </w:p>
    <w:p w14:paraId="34AFB354">
      <w:pPr>
        <w:spacing w:after="80"/>
        <w:rPr>
          <w:b w:val="0"/>
          <w:bCs/>
          <w:lang w:val="pt-PT"/>
        </w:rPr>
      </w:pPr>
      <w:r>
        <w:rPr>
          <w:b/>
          <w:i w:val="0"/>
        </w:rPr>
        <w:t xml:space="preserve">Submission of manuscripts: </w:t>
      </w:r>
      <w:r>
        <w:rPr>
          <w:b w:val="0"/>
          <w:i w:val="0"/>
        </w:rPr>
        <w:t xml:space="preserve">articles must be uploaded, from the outset, through </w:t>
      </w:r>
      <w:r>
        <w:rPr>
          <w:b w:val="0"/>
          <w:i/>
        </w:rPr>
        <w:t>Revue Romane</w:t>
      </w:r>
      <w:r>
        <w:rPr>
          <w:b w:val="0"/>
          <w:i w:val="0"/>
        </w:rPr>
        <w:t xml:space="preserve">’s Editorial Manager platform: </w:t>
      </w:r>
      <w:hyperlink r:id="rId11">
        <w:r>
          <w:rPr>
            <w:color w:val="0563C1"/>
            <w:u w:val="single"/>
          </w:rPr>
          <w:t>https://www.editorialmanager.com/rro/</w:t>
        </w:r>
      </w:hyperlink>
      <w:r>
        <w:rPr>
          <w:b w:val="0"/>
          <w:i w:val="0"/>
        </w:rPr>
        <w:t xml:space="preserve">. Once in the system, select: </w:t>
      </w:r>
      <w:r>
        <w:rPr>
          <w:b w:val="0"/>
          <w:i/>
        </w:rPr>
        <w:t>Special issue: Writing Evil in Romance Literatures</w:t>
      </w:r>
      <w:r>
        <w:rPr>
          <w:b w:val="0"/>
          <w:i w:val="0"/>
        </w:rPr>
        <w:t>.</w:t>
      </w:r>
    </w:p>
    <w:p w14:paraId="623859A4">
      <w:pPr>
        <w:spacing w:after="80"/>
        <w:rPr>
          <w:b w:val="0"/>
          <w:bCs/>
          <w:lang w:val="pt-PT"/>
        </w:rPr>
      </w:pPr>
      <w:r>
        <w:rPr>
          <w:b w:val="0"/>
          <w:bCs/>
          <w:lang w:val="en-GB"/>
        </w:rPr>
        <w:t>The submission and peer-review process will take place entirely through this platform, in order to ensure full compliance with the journal’s editorial procedures.</w:t>
      </w:r>
    </w:p>
    <w:p w14:paraId="26B0EED7">
      <w:pPr>
        <w:spacing w:before="200"/>
        <w:rPr>
          <w:b/>
          <w:sz w:val="28"/>
          <w:lang w:val="pt-PT"/>
        </w:rPr>
      </w:pPr>
    </w:p>
    <w:p w14:paraId="1D48F590">
      <w:pPr>
        <w:spacing w:before="200"/>
        <w:rPr>
          <w:lang w:val="pt-PT"/>
        </w:rPr>
      </w:pPr>
      <w:r>
        <w:rPr>
          <w:b/>
          <w:lang w:val="en-GB"/>
        </w:rPr>
        <w:t>Special Issue Editors</w:t>
      </w:r>
    </w:p>
    <w:p w14:paraId="758BB61C">
      <w:pPr>
        <w:spacing w:after="120"/>
        <w:rPr>
          <w:lang w:val="pt-PT"/>
        </w:rPr>
      </w:pPr>
      <w:r>
        <w:rPr>
          <w:b/>
          <w:lang w:val="en-GB"/>
        </w:rPr>
        <w:t>Cândido Oliveira Martins</w:t>
      </w:r>
      <w:r>
        <w:rPr>
          <w:lang w:val="en-GB"/>
        </w:rPr>
        <w:br w:type="textWrapping"/>
      </w:r>
      <w:r>
        <w:rPr>
          <w:lang w:val="en-GB"/>
        </w:rPr>
        <w:t>[Universidade Católica Portuguesa – CEFH]</w:t>
      </w:r>
    </w:p>
    <w:p w14:paraId="06E5A0B4">
      <w:pPr>
        <w:spacing w:after="120"/>
        <w:rPr>
          <w:b/>
          <w:lang w:val="pt-PT"/>
        </w:rPr>
      </w:pPr>
    </w:p>
    <w:p w14:paraId="22AA1D12">
      <w:pPr>
        <w:spacing w:after="120"/>
        <w:rPr>
          <w:lang w:val="pt-PT"/>
        </w:rPr>
      </w:pPr>
      <w:r>
        <w:rPr>
          <w:b/>
          <w:lang w:val="en-GB"/>
        </w:rPr>
        <w:t>Carlos Nogueira</w:t>
      </w:r>
      <w:r>
        <w:rPr>
          <w:lang w:val="en-GB"/>
        </w:rPr>
        <w:br w:type="textWrapping"/>
      </w:r>
      <w:r>
        <w:rPr>
          <w:lang w:val="en-GB"/>
        </w:rPr>
        <w:t xml:space="preserve">[CEL, </w:t>
      </w:r>
      <w:r>
        <w:rPr>
          <w:rFonts w:hint="default"/>
          <w:lang w:val="pt-PT"/>
        </w:rPr>
        <w:t xml:space="preserve">Cátedra José </w:t>
      </w:r>
      <w:r>
        <w:rPr>
          <w:lang w:val="es-ES"/>
        </w:rPr>
        <w:t>Saramago</w:t>
      </w:r>
      <w:r>
        <w:rPr>
          <w:lang w:val="en-GB"/>
        </w:rPr>
        <w:t>, Universidade de Trás-os-Montes e Alto Douro / Universidade da Beira Interior</w:t>
      </w:r>
      <w:r>
        <w:rPr>
          <w:rFonts w:hint="default"/>
          <w:lang w:val="pt-PT"/>
        </w:rPr>
        <w:t>, Portugal</w:t>
      </w:r>
      <w:bookmarkStart w:id="0" w:name="_GoBack"/>
      <w:bookmarkEnd w:id="0"/>
      <w:r>
        <w:rPr>
          <w:lang w:val="en-GB"/>
        </w:rPr>
        <w:t>]</w:t>
      </w:r>
    </w:p>
    <w:sectPr>
      <w:footerReference r:id="rId5" w:type="default"/>
      <w:pgSz w:w="12240" w:h="15840"/>
      <w:pgMar w:top="1361" w:right="1474" w:bottom="1361" w:left="147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58097">
    <w:pPr>
      <w:pStyle w:val="26"/>
      <w:jc w:val="center"/>
    </w:pPr>
    <w:r>
      <w:rPr>
        <w:sz w:val="18"/>
      </w:rPr>
      <w:fldChar w:fldCharType="begin"/>
    </w:r>
    <w:r>
      <w:rPr>
        <w:sz w:val="18"/>
      </w:rPr>
      <w:instrText xml:space="preserve"> PAGE </w:instrText>
    </w:r>
    <w:r>
      <w:rPr>
        <w:sz w:val="18"/>
      </w:rPr>
      <w:fldChar w:fldCharType="separate"/>
    </w:r>
    <w:r>
      <w:rPr>
        <w:sz w:val="18"/>
      </w:rPr>
      <w:t>1</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5"/>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27"/>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4"/>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32"/>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1"/>
      <w:lvlText w:val=""/>
      <w:lvlJc w:val="left"/>
      <w:pPr>
        <w:tabs>
          <w:tab w:val="left" w:pos="360"/>
        </w:tabs>
        <w:ind w:left="360" w:hanging="360"/>
      </w:pPr>
      <w:rPr>
        <w:rFonts w:hint="default" w:ascii="Symbol" w:hAnsi="Symbol"/>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290C"/>
    <w:rsid w:val="00034616"/>
    <w:rsid w:val="0006063C"/>
    <w:rsid w:val="0015074B"/>
    <w:rsid w:val="0029639D"/>
    <w:rsid w:val="003127BC"/>
    <w:rsid w:val="00326F90"/>
    <w:rsid w:val="00531D7C"/>
    <w:rsid w:val="00657D7D"/>
    <w:rsid w:val="006C6795"/>
    <w:rsid w:val="00AA1D8D"/>
    <w:rsid w:val="00B47730"/>
    <w:rsid w:val="00CB0664"/>
    <w:rsid w:val="00EA3046"/>
    <w:rsid w:val="00FC693F"/>
    <w:rsid w:val="029D0B7C"/>
    <w:rsid w:val="08BD11E5"/>
    <w:rsid w:val="2482436D"/>
    <w:rsid w:val="26470EC3"/>
    <w:rsid w:val="276F072E"/>
    <w:rsid w:val="4F5C319A"/>
    <w:rsid w:val="64F03DE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4"/>
      <w:szCs w:val="22"/>
      <w:lang w:val="en-US" w:eastAsia="en-US" w:bidi="ar-SA"/>
    </w:rPr>
  </w:style>
  <w:style w:type="paragraph" w:styleId="2">
    <w:name w:val="heading 1"/>
    <w:basedOn w:val="1"/>
    <w:next w:val="1"/>
    <w:link w:val="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1"/>
    <w:unhideWhenUsed/>
    <w:qFormat/>
    <w:uiPriority w:val="9"/>
    <w:pPr>
      <w:keepNext/>
      <w:keepLines/>
      <w:spacing w:before="200" w:after="0"/>
      <w:outlineLvl w:val="1"/>
    </w:pPr>
    <w:rPr>
      <w:rFonts w:asciiTheme="majorHAnsi" w:hAnsiTheme="majorHAnsi" w:eastAsiaTheme="majorEastAsia" w:cstheme="majorBidi"/>
      <w:b/>
      <w:bCs/>
      <w:color w:val="4F81BD" w:themeColor="accent1"/>
      <w:szCs w:val="26"/>
      <w14:textFill>
        <w14:solidFill>
          <w14:schemeClr w14:val="accent1"/>
        </w14:solidFill>
      </w14:textFill>
    </w:rPr>
  </w:style>
  <w:style w:type="paragraph" w:styleId="4">
    <w:name w:val="heading 3"/>
    <w:basedOn w:val="1"/>
    <w:next w:val="1"/>
    <w:link w:val="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Strong"/>
    <w:basedOn w:val="11"/>
    <w:qFormat/>
    <w:uiPriority w:val="22"/>
    <w:rPr>
      <w:b/>
      <w:bCs/>
    </w:rPr>
  </w:style>
  <w:style w:type="paragraph" w:styleId="15">
    <w:name w:val="Body Text 3"/>
    <w:basedOn w:val="1"/>
    <w:link w:val="48"/>
    <w:unhideWhenUsed/>
    <w:qFormat/>
    <w:uiPriority w:val="99"/>
    <w:pPr>
      <w:spacing w:after="120"/>
    </w:pPr>
    <w:rPr>
      <w:sz w:val="16"/>
      <w:szCs w:val="16"/>
    </w:rPr>
  </w:style>
  <w:style w:type="paragraph" w:styleId="16">
    <w:name w:val="Body Text 2"/>
    <w:basedOn w:val="1"/>
    <w:link w:val="47"/>
    <w:unhideWhenUsed/>
    <w:qFormat/>
    <w:uiPriority w:val="99"/>
    <w:pPr>
      <w:spacing w:after="120" w:line="480" w:lineRule="auto"/>
    </w:pPr>
  </w:style>
  <w:style w:type="paragraph" w:styleId="17">
    <w:name w:val="Body Text"/>
    <w:basedOn w:val="1"/>
    <w:link w:val="46"/>
    <w:unhideWhenUsed/>
    <w:qFormat/>
    <w:uiPriority w:val="99"/>
    <w:pPr>
      <w:spacing w:after="120"/>
    </w:pPr>
  </w:style>
  <w:style w:type="paragraph" w:styleId="18">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9">
    <w:name w:val="List 2"/>
    <w:basedOn w:val="1"/>
    <w:unhideWhenUsed/>
    <w:qFormat/>
    <w:uiPriority w:val="99"/>
    <w:pPr>
      <w:ind w:left="720" w:hanging="360"/>
      <w:contextualSpacing/>
    </w:pPr>
  </w:style>
  <w:style w:type="paragraph" w:styleId="20">
    <w:name w:val="List Continue 3"/>
    <w:basedOn w:val="1"/>
    <w:unhideWhenUsed/>
    <w:qFormat/>
    <w:uiPriority w:val="99"/>
    <w:pPr>
      <w:spacing w:after="120"/>
      <w:ind w:left="1080"/>
      <w:contextualSpacing/>
    </w:pPr>
  </w:style>
  <w:style w:type="paragraph" w:styleId="21">
    <w:name w:val="List Bullet"/>
    <w:basedOn w:val="1"/>
    <w:unhideWhenUsed/>
    <w:qFormat/>
    <w:uiPriority w:val="99"/>
    <w:pPr>
      <w:numPr>
        <w:ilvl w:val="0"/>
        <w:numId w:val="1"/>
      </w:numPr>
      <w:contextualSpacing/>
    </w:pPr>
  </w:style>
  <w:style w:type="paragraph" w:styleId="22">
    <w:name w:val="List"/>
    <w:basedOn w:val="1"/>
    <w:unhideWhenUsed/>
    <w:qFormat/>
    <w:uiPriority w:val="99"/>
    <w:pPr>
      <w:ind w:left="360" w:hanging="360"/>
      <w:contextualSpacing/>
    </w:pPr>
  </w:style>
  <w:style w:type="paragraph" w:styleId="23">
    <w:name w:val="List Continue 2"/>
    <w:basedOn w:val="1"/>
    <w:unhideWhenUsed/>
    <w:qFormat/>
    <w:uiPriority w:val="99"/>
    <w:pPr>
      <w:spacing w:after="120"/>
      <w:ind w:left="720"/>
      <w:contextualSpacing/>
    </w:pPr>
  </w:style>
  <w:style w:type="paragraph" w:styleId="24">
    <w:name w:val="List Bullet 3"/>
    <w:basedOn w:val="1"/>
    <w:unhideWhenUsed/>
    <w:qFormat/>
    <w:uiPriority w:val="99"/>
    <w:pPr>
      <w:numPr>
        <w:ilvl w:val="0"/>
        <w:numId w:val="2"/>
      </w:numPr>
      <w:contextualSpacing/>
    </w:pPr>
  </w:style>
  <w:style w:type="paragraph" w:styleId="25">
    <w:name w:val="List Number 3"/>
    <w:basedOn w:val="1"/>
    <w:unhideWhenUsed/>
    <w:qFormat/>
    <w:uiPriority w:val="99"/>
    <w:pPr>
      <w:numPr>
        <w:ilvl w:val="0"/>
        <w:numId w:val="3"/>
      </w:numPr>
      <w:contextualSpacing/>
    </w:pPr>
  </w:style>
  <w:style w:type="paragraph" w:styleId="26">
    <w:name w:val="footer"/>
    <w:basedOn w:val="1"/>
    <w:link w:val="38"/>
    <w:unhideWhenUsed/>
    <w:qFormat/>
    <w:uiPriority w:val="99"/>
    <w:pPr>
      <w:tabs>
        <w:tab w:val="center" w:pos="4680"/>
        <w:tab w:val="right" w:pos="9360"/>
      </w:tabs>
      <w:spacing w:after="0" w:line="240" w:lineRule="auto"/>
    </w:pPr>
  </w:style>
  <w:style w:type="paragraph" w:styleId="27">
    <w:name w:val="List Number 2"/>
    <w:basedOn w:val="1"/>
    <w:unhideWhenUsed/>
    <w:qFormat/>
    <w:uiPriority w:val="99"/>
    <w:pPr>
      <w:numPr>
        <w:ilvl w:val="0"/>
        <w:numId w:val="4"/>
      </w:numPr>
      <w:contextualSpacing/>
    </w:pPr>
  </w:style>
  <w:style w:type="paragraph" w:styleId="28">
    <w:name w:val="header"/>
    <w:basedOn w:val="1"/>
    <w:link w:val="37"/>
    <w:unhideWhenUsed/>
    <w:qFormat/>
    <w:uiPriority w:val="99"/>
    <w:pPr>
      <w:tabs>
        <w:tab w:val="center" w:pos="4680"/>
        <w:tab w:val="right" w:pos="9360"/>
      </w:tabs>
      <w:spacing w:after="0" w:line="240" w:lineRule="auto"/>
    </w:pPr>
  </w:style>
  <w:style w:type="paragraph" w:styleId="29">
    <w:name w:val="List 3"/>
    <w:basedOn w:val="1"/>
    <w:unhideWhenUsed/>
    <w:qFormat/>
    <w:uiPriority w:val="99"/>
    <w:pPr>
      <w:ind w:left="1080" w:hanging="360"/>
      <w:contextualSpacing/>
    </w:pPr>
  </w:style>
  <w:style w:type="paragraph" w:styleId="30">
    <w:name w:val="List Number"/>
    <w:basedOn w:val="1"/>
    <w:unhideWhenUsed/>
    <w:qFormat/>
    <w:uiPriority w:val="99"/>
    <w:pPr>
      <w:numPr>
        <w:ilvl w:val="0"/>
        <w:numId w:val="5"/>
      </w:numPr>
      <w:contextualSpacing/>
    </w:pPr>
  </w:style>
  <w:style w:type="paragraph" w:styleId="31">
    <w:name w:val="List Continue"/>
    <w:basedOn w:val="1"/>
    <w:unhideWhenUsed/>
    <w:qFormat/>
    <w:uiPriority w:val="99"/>
    <w:pPr>
      <w:spacing w:after="120"/>
      <w:ind w:left="360"/>
      <w:contextualSpacing/>
    </w:pPr>
  </w:style>
  <w:style w:type="paragraph" w:styleId="32">
    <w:name w:val="List Bullet 2"/>
    <w:basedOn w:val="1"/>
    <w:unhideWhenUsed/>
    <w:qFormat/>
    <w:uiPriority w:val="99"/>
    <w:pPr>
      <w:numPr>
        <w:ilvl w:val="0"/>
        <w:numId w:val="6"/>
      </w:numPr>
      <w:contextualSpacing/>
    </w:pPr>
  </w:style>
  <w:style w:type="paragraph" w:styleId="33">
    <w:name w:val="macro"/>
    <w:link w:val="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34">
    <w:name w:val="Subtitle"/>
    <w:basedOn w:val="1"/>
    <w:next w:val="1"/>
    <w:link w:val="44"/>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35">
    <w:name w:val="Title"/>
    <w:basedOn w:val="1"/>
    <w:next w:val="1"/>
    <w:link w:val="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7375E" w:themeColor="text2" w:themeShade="BF"/>
      <w:spacing w:val="5"/>
      <w:kern w:val="28"/>
      <w:sz w:val="34"/>
      <w:szCs w:val="52"/>
    </w:rPr>
  </w:style>
  <w:style w:type="table" w:styleId="36">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Cabeçalho Caráter"/>
    <w:basedOn w:val="11"/>
    <w:link w:val="28"/>
    <w:qFormat/>
    <w:uiPriority w:val="99"/>
  </w:style>
  <w:style w:type="character" w:customStyle="1" w:styleId="38">
    <w:name w:val="Rodapé Caráter"/>
    <w:basedOn w:val="11"/>
    <w:link w:val="26"/>
    <w:qFormat/>
    <w:uiPriority w:val="99"/>
  </w:style>
  <w:style w:type="paragraph" w:styleId="39">
    <w:name w:val="No Spacing"/>
    <w:qFormat/>
    <w:uiPriority w:val="1"/>
    <w:rPr>
      <w:rFonts w:asciiTheme="minorHAnsi" w:hAnsiTheme="minorHAnsi" w:eastAsiaTheme="minorEastAsia" w:cstheme="minorBidi"/>
      <w:sz w:val="22"/>
      <w:szCs w:val="22"/>
      <w:lang w:val="en-US" w:eastAsia="en-US" w:bidi="ar-SA"/>
    </w:rPr>
  </w:style>
  <w:style w:type="character" w:customStyle="1" w:styleId="40">
    <w:name w:val="Título 1 Caráte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41">
    <w:name w:val="Título 2 Caráte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2">
    <w:name w:val="Título 3 Caráte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43">
    <w:name w:val="Título Caráter"/>
    <w:basedOn w:val="11"/>
    <w:link w:val="3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4">
    <w:name w:val="Subtítulo Caráte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5">
    <w:name w:val="List Paragraph"/>
    <w:basedOn w:val="1"/>
    <w:qFormat/>
    <w:uiPriority w:val="34"/>
    <w:pPr>
      <w:ind w:left="720"/>
      <w:contextualSpacing/>
    </w:pPr>
  </w:style>
  <w:style w:type="character" w:customStyle="1" w:styleId="46">
    <w:name w:val="Corpo de texto Caráter"/>
    <w:basedOn w:val="11"/>
    <w:link w:val="17"/>
    <w:qFormat/>
    <w:uiPriority w:val="99"/>
  </w:style>
  <w:style w:type="character" w:customStyle="1" w:styleId="47">
    <w:name w:val="Corpo de texto 2 Caráter"/>
    <w:basedOn w:val="11"/>
    <w:link w:val="16"/>
    <w:qFormat/>
    <w:uiPriority w:val="99"/>
  </w:style>
  <w:style w:type="character" w:customStyle="1" w:styleId="48">
    <w:name w:val="Corpo de texto 3 Caráter"/>
    <w:basedOn w:val="11"/>
    <w:link w:val="15"/>
    <w:qFormat/>
    <w:uiPriority w:val="99"/>
    <w:rPr>
      <w:sz w:val="16"/>
      <w:szCs w:val="16"/>
    </w:rPr>
  </w:style>
  <w:style w:type="character" w:customStyle="1" w:styleId="49">
    <w:name w:val="Texto de macro Caráter"/>
    <w:basedOn w:val="11"/>
    <w:link w:val="33"/>
    <w:qFormat/>
    <w:uiPriority w:val="99"/>
    <w:rPr>
      <w:rFonts w:ascii="Courier" w:hAnsi="Courier"/>
      <w:sz w:val="20"/>
      <w:szCs w:val="20"/>
    </w:rPr>
  </w:style>
  <w:style w:type="paragraph" w:styleId="50">
    <w:name w:val="Quote"/>
    <w:basedOn w:val="1"/>
    <w:next w:val="1"/>
    <w:link w:val="51"/>
    <w:qFormat/>
    <w:uiPriority w:val="29"/>
    <w:rPr>
      <w:i/>
      <w:iCs/>
      <w:color w:val="000000" w:themeColor="text1"/>
      <w14:textFill>
        <w14:solidFill>
          <w14:schemeClr w14:val="tx1"/>
        </w14:solidFill>
      </w14:textFill>
    </w:rPr>
  </w:style>
  <w:style w:type="character" w:customStyle="1" w:styleId="51">
    <w:name w:val="Citação Caráter"/>
    <w:basedOn w:val="11"/>
    <w:link w:val="50"/>
    <w:qFormat/>
    <w:uiPriority w:val="29"/>
    <w:rPr>
      <w:i/>
      <w:iCs/>
      <w:color w:val="000000" w:themeColor="text1"/>
      <w14:textFill>
        <w14:solidFill>
          <w14:schemeClr w14:val="tx1"/>
        </w14:solidFill>
      </w14:textFill>
    </w:rPr>
  </w:style>
  <w:style w:type="character" w:customStyle="1" w:styleId="52">
    <w:name w:val="Título 4 Caráte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3">
    <w:name w:val="Título 5 Caráter"/>
    <w:basedOn w:val="11"/>
    <w:link w:val="6"/>
    <w:semiHidden/>
    <w:qFormat/>
    <w:uiPriority w:val="9"/>
    <w:rPr>
      <w:rFonts w:asciiTheme="majorHAnsi" w:hAnsiTheme="majorHAnsi" w:eastAsiaTheme="majorEastAsia" w:cstheme="majorBidi"/>
      <w:color w:val="254061" w:themeColor="accent1" w:themeShade="80"/>
    </w:rPr>
  </w:style>
  <w:style w:type="character" w:customStyle="1" w:styleId="54">
    <w:name w:val="Título 6 Caráte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55">
    <w:name w:val="Título 7 Caráte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56">
    <w:name w:val="Título 8 Caráte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57">
    <w:name w:val="Título 9 Caráte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58">
    <w:name w:val="Intense Quote"/>
    <w:basedOn w:val="1"/>
    <w:next w:val="1"/>
    <w:link w:val="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59">
    <w:name w:val="Citação Intensa Caráter"/>
    <w:basedOn w:val="11"/>
    <w:link w:val="58"/>
    <w:qFormat/>
    <w:uiPriority w:val="30"/>
    <w:rPr>
      <w:b/>
      <w:bCs/>
      <w:i/>
      <w:iCs/>
      <w:color w:val="4F81BD" w:themeColor="accent1"/>
      <w14:textFill>
        <w14:solidFill>
          <w14:schemeClr w14:val="accent1"/>
        </w14:solidFill>
      </w14:textFill>
    </w:rPr>
  </w:style>
  <w:style w:type="character" w:customStyle="1" w:styleId="60">
    <w:name w:val="Ênfase Discreta1"/>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61">
    <w:name w:val="Ênfase Intensa1"/>
    <w:basedOn w:val="11"/>
    <w:qFormat/>
    <w:uiPriority w:val="21"/>
    <w:rPr>
      <w:b/>
      <w:bCs/>
      <w:i/>
      <w:iCs/>
      <w:color w:val="4F81BD" w:themeColor="accent1"/>
      <w14:textFill>
        <w14:solidFill>
          <w14:schemeClr w14:val="accent1"/>
        </w14:solidFill>
      </w14:textFill>
    </w:rPr>
  </w:style>
  <w:style w:type="character" w:customStyle="1" w:styleId="62">
    <w:name w:val="Referência Discreta1"/>
    <w:basedOn w:val="11"/>
    <w:qFormat/>
    <w:uiPriority w:val="31"/>
    <w:rPr>
      <w:smallCaps/>
      <w:color w:val="C0504D" w:themeColor="accent2"/>
      <w:u w:val="single"/>
      <w14:textFill>
        <w14:solidFill>
          <w14:schemeClr w14:val="accent2"/>
        </w14:solidFill>
      </w14:textFill>
    </w:rPr>
  </w:style>
  <w:style w:type="character" w:customStyle="1" w:styleId="63">
    <w:name w:val="Referência Intensa1"/>
    <w:basedOn w:val="11"/>
    <w:qFormat/>
    <w:uiPriority w:val="32"/>
    <w:rPr>
      <w:b/>
      <w:bCs/>
      <w:smallCaps/>
      <w:color w:val="C0504D" w:themeColor="accent2"/>
      <w:spacing w:val="5"/>
      <w:u w:val="single"/>
      <w14:textFill>
        <w14:solidFill>
          <w14:schemeClr w14:val="accent2"/>
        </w14:solidFill>
      </w14:textFill>
    </w:rPr>
  </w:style>
  <w:style w:type="character" w:customStyle="1" w:styleId="64">
    <w:name w:val="Título do Livro1"/>
    <w:basedOn w:val="11"/>
    <w:qFormat/>
    <w:uiPriority w:val="33"/>
    <w:rPr>
      <w:b/>
      <w:bCs/>
      <w:smallCaps/>
      <w:spacing w:val="5"/>
    </w:rPr>
  </w:style>
  <w:style w:type="paragraph" w:customStyle="1" w:styleId="65">
    <w:name w:val="Cabeçalho do Índice1"/>
    <w:basedOn w:val="2"/>
    <w:next w:val="1"/>
    <w:semiHidden/>
    <w:unhideWhenUsed/>
    <w:qFormat/>
    <w:uiPriority w:val="39"/>
    <w:pPr>
      <w:outlineLvl w:val="9"/>
    </w:pPr>
  </w:style>
  <w:style w:type="table" w:styleId="66">
    <w:name w:val="Light Shading"/>
    <w:basedOn w:val="1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styleId="67">
    <w:name w:val="Light Shading Accent 1"/>
    <w:basedOn w:val="1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styleId="68">
    <w:name w:val="Light Shading Accent 2"/>
    <w:basedOn w:val="1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styleId="69">
    <w:name w:val="Light Shading Accent 3"/>
    <w:basedOn w:val="1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styleId="70">
    <w:name w:val="Light Shading Accent 4"/>
    <w:basedOn w:val="1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styleId="71">
    <w:name w:val="Light Shading Accent 5"/>
    <w:basedOn w:val="1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styleId="72">
    <w:name w:val="Light Shading Accent 6"/>
    <w:basedOn w:val="1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5D1" w:themeFill="accent6" w:themeFillTint="3F"/>
      </w:tcPr>
    </w:tblStylePr>
    <w:tblStylePr w:type="band1Horz">
      <w:tcPr>
        <w:tcBorders>
          <w:left w:val="nil"/>
          <w:right w:val="nil"/>
          <w:insideH w:val="nil"/>
          <w:insideV w:val="nil"/>
        </w:tcBorders>
        <w:shd w:val="clear" w:color="auto" w:fill="FDE5D1" w:themeFill="accent6" w:themeFillTint="3F"/>
      </w:tcPr>
    </w:tblStylePr>
  </w:style>
  <w:style w:type="table" w:styleId="73">
    <w:name w:val="Light List"/>
    <w:basedOn w:val="1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74">
    <w:name w:val="Light List Accent 1"/>
    <w:basedOn w:val="1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75">
    <w:name w:val="Light List Accent 2"/>
    <w:basedOn w:val="1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C0504D" w:themeFill="accent2"/>
      </w:tcPr>
    </w:tblStylePr>
    <w:tblStylePr w:type="lastRow">
      <w:pPr>
        <w:spacing w:before="0" w:after="0" w:line="240" w:lineRule="auto"/>
      </w:pPr>
      <w:rPr>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76">
    <w:name w:val="Light List Accent 3"/>
    <w:basedOn w:val="1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9BBB59" w:themeFill="accent3"/>
      </w:tcPr>
    </w:tblStylePr>
    <w:tblStylePr w:type="lastRow">
      <w:pPr>
        <w:spacing w:before="0" w:after="0" w:line="240" w:lineRule="auto"/>
      </w:pPr>
      <w:rPr>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77">
    <w:name w:val="Light List Accent 4"/>
    <w:basedOn w:val="12"/>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8064A2" w:themeFill="accent4"/>
      </w:tcPr>
    </w:tblStylePr>
    <w:tblStylePr w:type="lastRow">
      <w:pPr>
        <w:spacing w:before="0" w:after="0" w:line="240" w:lineRule="auto"/>
      </w:pPr>
      <w:rPr>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78">
    <w:name w:val="Light List Accent 5"/>
    <w:basedOn w:val="1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BACC6" w:themeFill="accent5"/>
      </w:tcPr>
    </w:tblStylePr>
    <w:tblStylePr w:type="lastRow">
      <w:pPr>
        <w:spacing w:before="0" w:after="0" w:line="240" w:lineRule="auto"/>
      </w:pPr>
      <w:rPr>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79">
    <w:name w:val="Light List Accent 6"/>
    <w:basedOn w:val="1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F79646" w:themeFill="accent6"/>
      </w:tcPr>
    </w:tblStylePr>
    <w:tblStylePr w:type="lastRow">
      <w:pPr>
        <w:spacing w:before="0" w:after="0" w:line="240" w:lineRule="auto"/>
      </w:pPr>
      <w:rPr>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80">
    <w:name w:val="Light Grid"/>
    <w:basedOn w:val="1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81">
    <w:name w:val="Light Grid Accent 1"/>
    <w:basedOn w:val="1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82">
    <w:name w:val="Light Grid Accent 2"/>
    <w:basedOn w:val="1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3">
    <w:name w:val="Light Grid Accent 3"/>
    <w:basedOn w:val="1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4">
    <w:name w:val="Light Grid Accent 4"/>
    <w:basedOn w:val="1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85">
    <w:name w:val="Light Grid Accent 5"/>
    <w:basedOn w:val="1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86">
    <w:name w:val="Light Grid Accent 6"/>
    <w:basedOn w:val="1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87">
    <w:name w:val="Medium Shading 1"/>
    <w:basedOn w:val="1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styleId="88">
    <w:name w:val="Medium Shading 1 Accent 1"/>
    <w:basedOn w:val="12"/>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styleId="89">
    <w:name w:val="Medium Shading 1 Accent 2"/>
    <w:basedOn w:val="1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styleId="90">
    <w:name w:val="Medium Shading 1 Accent 3"/>
    <w:basedOn w:val="1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styleId="91">
    <w:name w:val="Medium Shading 1 Accent 4"/>
    <w:basedOn w:val="1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styleId="92">
    <w:name w:val="Medium Shading 1 Accent 5"/>
    <w:basedOn w:val="12"/>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styleId="93">
    <w:name w:val="Medium Shading 1 Accent 6"/>
    <w:basedOn w:val="12"/>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styleId="94">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5">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6">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7">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8">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9">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0">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1">
    <w:name w:val="Medium List 1"/>
    <w:basedOn w:val="1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styleId="102">
    <w:name w:val="Medium List 1 Accent 1"/>
    <w:basedOn w:val="12"/>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cPr>
        <w:tcBorders>
          <w:top w:val="nil"/>
          <w:bottom w:val="single" w:color="4F81BD" w:themeColor="accent1" w:sz="8" w:space="0"/>
        </w:tcBorders>
      </w:tcPr>
    </w:tblStylePr>
    <w:tblStylePr w:type="lastRow">
      <w:rPr>
        <w:b/>
        <w:bCs/>
        <w:color w:val="1F497D" w:themeColor="text2"/>
        <w14:textFill>
          <w14:solidFill>
            <w14:schemeClr w14:val="tx2"/>
          </w14:solidFill>
        </w14:textFill>
      </w:rPr>
      <w:tcPr>
        <w:tcBorders>
          <w:top w:val="single" w:color="4F81BD" w:themeColor="accent1" w:sz="8" w:space="0"/>
          <w:bottom w:val="single" w:color="4F81BD" w:themeColor="accent1" w:sz="8" w:space="0"/>
        </w:tcBorders>
      </w:tcPr>
    </w:tblStylePr>
    <w:tblStylePr w:type="firstCol">
      <w:rPr>
        <w:b/>
        <w:bCs/>
      </w:rPr>
    </w:tblStylePr>
    <w:tblStylePr w:type="lastCol">
      <w:rPr>
        <w:b/>
        <w:bCs/>
      </w:rPr>
      <w:tcPr>
        <w:tcBorders>
          <w:top w:val="single" w:color="4F81BD" w:themeColor="accent1" w:sz="8" w:space="0"/>
          <w:bottom w:val="single" w:color="4F81BD" w:themeColor="accent1" w:sz="8" w:space="0"/>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styleId="103">
    <w:name w:val="Medium List 1 Accent 2"/>
    <w:basedOn w:val="12"/>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cPr>
        <w:tcBorders>
          <w:top w:val="nil"/>
          <w:bottom w:val="single" w:color="C0504D" w:themeColor="accent2" w:sz="8" w:space="0"/>
        </w:tcBorders>
      </w:tcPr>
    </w:tblStylePr>
    <w:tblStylePr w:type="lastRow">
      <w:rPr>
        <w:b/>
        <w:bCs/>
        <w:color w:val="1F497D" w:themeColor="text2"/>
        <w14:textFill>
          <w14:solidFill>
            <w14:schemeClr w14:val="tx2"/>
          </w14:solidFill>
        </w14:textFill>
      </w:rPr>
      <w:tcPr>
        <w:tcBorders>
          <w:top w:val="single" w:color="C0504D" w:themeColor="accent2" w:sz="8" w:space="0"/>
          <w:bottom w:val="single" w:color="C0504D" w:themeColor="accent2" w:sz="8" w:space="0"/>
        </w:tcBorders>
      </w:tcPr>
    </w:tblStylePr>
    <w:tblStylePr w:type="firstCol">
      <w:rPr>
        <w:b/>
        <w:bCs/>
      </w:rPr>
    </w:tblStylePr>
    <w:tblStylePr w:type="lastCol">
      <w:rPr>
        <w:b/>
        <w:bCs/>
      </w:rPr>
      <w:tcPr>
        <w:tcBorders>
          <w:top w:val="single" w:color="C0504D" w:themeColor="accent2" w:sz="8" w:space="0"/>
          <w:bottom w:val="single" w:color="C0504D" w:themeColor="accent2" w:sz="8" w:space="0"/>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styleId="104">
    <w:name w:val="Medium List 1 Accent 3"/>
    <w:basedOn w:val="12"/>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cPr>
        <w:tcBorders>
          <w:top w:val="nil"/>
          <w:bottom w:val="single" w:color="9BBB59" w:themeColor="accent3" w:sz="8" w:space="0"/>
        </w:tcBorders>
      </w:tcPr>
    </w:tblStylePr>
    <w:tblStylePr w:type="lastRow">
      <w:rPr>
        <w:b/>
        <w:bCs/>
        <w:color w:val="1F497D" w:themeColor="text2"/>
        <w14:textFill>
          <w14:solidFill>
            <w14:schemeClr w14:val="tx2"/>
          </w14:solidFill>
        </w14:textFill>
      </w:rPr>
      <w:tcPr>
        <w:tcBorders>
          <w:top w:val="single" w:color="9BBB59" w:themeColor="accent3" w:sz="8" w:space="0"/>
          <w:bottom w:val="single" w:color="9BBB59" w:themeColor="accent3" w:sz="8" w:space="0"/>
        </w:tcBorders>
      </w:tcPr>
    </w:tblStylePr>
    <w:tblStylePr w:type="firstCol">
      <w:rPr>
        <w:b/>
        <w:bCs/>
      </w:rPr>
    </w:tblStylePr>
    <w:tblStylePr w:type="lastCol">
      <w:rPr>
        <w:b/>
        <w:bCs/>
      </w:rPr>
      <w:tcPr>
        <w:tcBorders>
          <w:top w:val="single" w:color="9BBB59" w:themeColor="accent3" w:sz="8" w:space="0"/>
          <w:bottom w:val="single" w:color="9BBB59" w:themeColor="accent3" w:sz="8" w:space="0"/>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styleId="105">
    <w:name w:val="Medium List 1 Accent 4"/>
    <w:basedOn w:val="1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cPr>
        <w:tcBorders>
          <w:top w:val="nil"/>
          <w:bottom w:val="single" w:color="8064A2" w:themeColor="accent4" w:sz="8" w:space="0"/>
        </w:tcBorders>
      </w:tcPr>
    </w:tblStylePr>
    <w:tblStylePr w:type="lastRow">
      <w:rPr>
        <w:b/>
        <w:bCs/>
        <w:color w:val="1F497D" w:themeColor="text2"/>
        <w14:textFill>
          <w14:solidFill>
            <w14:schemeClr w14:val="tx2"/>
          </w14:solidFill>
        </w14:textFill>
      </w:rPr>
      <w:tcPr>
        <w:tcBorders>
          <w:top w:val="single" w:color="8064A2" w:themeColor="accent4" w:sz="8" w:space="0"/>
          <w:bottom w:val="single" w:color="8064A2" w:themeColor="accent4" w:sz="8" w:space="0"/>
        </w:tcBorders>
      </w:tcPr>
    </w:tblStylePr>
    <w:tblStylePr w:type="firstCol">
      <w:rPr>
        <w:b/>
        <w:bCs/>
      </w:rPr>
    </w:tblStylePr>
    <w:tblStylePr w:type="lastCol">
      <w:rPr>
        <w:b/>
        <w:bCs/>
      </w:rPr>
      <w:tcPr>
        <w:tcBorders>
          <w:top w:val="single" w:color="8064A2" w:themeColor="accent4" w:sz="8" w:space="0"/>
          <w:bottom w:val="single" w:color="8064A2" w:themeColor="accent4" w:sz="8" w:space="0"/>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styleId="106">
    <w:name w:val="Medium List 1 Accent 5"/>
    <w:basedOn w:val="12"/>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cPr>
        <w:tcBorders>
          <w:top w:val="nil"/>
          <w:bottom w:val="single" w:color="4BACC6" w:themeColor="accent5" w:sz="8" w:space="0"/>
        </w:tcBorders>
      </w:tcPr>
    </w:tblStylePr>
    <w:tblStylePr w:type="lastRow">
      <w:rPr>
        <w:b/>
        <w:bCs/>
        <w:color w:val="1F497D" w:themeColor="text2"/>
        <w14:textFill>
          <w14:solidFill>
            <w14:schemeClr w14:val="tx2"/>
          </w14:solidFill>
        </w14:textFill>
      </w:rPr>
      <w:tcPr>
        <w:tcBorders>
          <w:top w:val="single" w:color="4BACC6" w:themeColor="accent5" w:sz="8" w:space="0"/>
          <w:bottom w:val="single" w:color="4BACC6" w:themeColor="accent5" w:sz="8" w:space="0"/>
        </w:tcBorders>
      </w:tcPr>
    </w:tblStylePr>
    <w:tblStylePr w:type="firstCol">
      <w:rPr>
        <w:b/>
        <w:bCs/>
      </w:rPr>
    </w:tblStylePr>
    <w:tblStylePr w:type="lastCol">
      <w:rPr>
        <w:b/>
        <w:bCs/>
      </w:rPr>
      <w:tcPr>
        <w:tcBorders>
          <w:top w:val="single" w:color="4BACC6" w:themeColor="accent5" w:sz="8" w:space="0"/>
          <w:bottom w:val="single" w:color="4BACC6" w:themeColor="accent5" w:sz="8" w:space="0"/>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styleId="107">
    <w:name w:val="Medium List 1 Accent 6"/>
    <w:basedOn w:val="1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cPr>
        <w:tcBorders>
          <w:top w:val="nil"/>
          <w:bottom w:val="single" w:color="F79646" w:themeColor="accent6" w:sz="8" w:space="0"/>
        </w:tcBorders>
      </w:tcPr>
    </w:tblStylePr>
    <w:tblStylePr w:type="lastRow">
      <w:rPr>
        <w:b/>
        <w:bCs/>
        <w:color w:val="1F497D" w:themeColor="text2"/>
        <w14:textFill>
          <w14:solidFill>
            <w14:schemeClr w14:val="tx2"/>
          </w14:solidFill>
        </w14:textFill>
      </w:rPr>
      <w:tcPr>
        <w:tcBorders>
          <w:top w:val="single" w:color="F79646" w:themeColor="accent6" w:sz="8" w:space="0"/>
          <w:bottom w:val="single" w:color="F79646" w:themeColor="accent6" w:sz="8" w:space="0"/>
        </w:tcBorders>
      </w:tcPr>
    </w:tblStylePr>
    <w:tblStylePr w:type="firstCol">
      <w:rPr>
        <w:b/>
        <w:bCs/>
      </w:rPr>
    </w:tblStylePr>
    <w:tblStylePr w:type="lastCol">
      <w:rPr>
        <w:b/>
        <w:bCs/>
      </w:rPr>
      <w:tcPr>
        <w:tcBorders>
          <w:top w:val="single" w:color="F79646" w:themeColor="accent6" w:sz="8" w:space="0"/>
          <w:bottom w:val="single" w:color="F79646" w:themeColor="accent6" w:sz="8" w:space="0"/>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styleId="108">
    <w:name w:val="Medium Lis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styleId="109">
    <w:name w:val="Medium List 2 Accent 1"/>
    <w:basedOn w:val="12"/>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styleId="110">
    <w:name w:val="Medium List 2 Accent 2"/>
    <w:basedOn w:val="12"/>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cPr>
        <w:tcBorders>
          <w:top w:val="nil"/>
          <w:left w:val="nil"/>
          <w:bottom w:val="single" w:color="C0504D" w:themeColor="accent2" w:sz="24" w:space="0"/>
          <w:right w:val="nil"/>
          <w:insideH w:val="nil"/>
          <w:insideV w:val="nil"/>
        </w:tcBorders>
        <w:shd w:val="clear" w:color="auto" w:fill="FFFFFF" w:themeFill="background1"/>
      </w:tcPr>
    </w:tblStylePr>
    <w:tblStylePr w:type="lastRow">
      <w:tcPr>
        <w:tcBorders>
          <w:top w:val="single" w:color="C0504D" w:themeColor="accent2"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C0504D" w:themeColor="accent2" w:sz="8" w:space="0"/>
          <w:insideH w:val="nil"/>
          <w:insideV w:val="nil"/>
        </w:tcBorders>
        <w:shd w:val="clear" w:color="auto" w:fill="FFFFFF" w:themeFill="background1"/>
      </w:tcPr>
    </w:tblStylePr>
    <w:tblStylePr w:type="lastCol">
      <w:tcPr>
        <w:tcBorders>
          <w:top w:val="nil"/>
          <w:left w:val="single" w:color="C0504D" w:themeColor="accent2"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styleId="111">
    <w:name w:val="Medium List 2 Accent 3"/>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cPr>
        <w:tcBorders>
          <w:top w:val="nil"/>
          <w:left w:val="nil"/>
          <w:bottom w:val="single" w:color="9BBB59" w:themeColor="accent3" w:sz="24" w:space="0"/>
          <w:right w:val="nil"/>
          <w:insideH w:val="nil"/>
          <w:insideV w:val="nil"/>
        </w:tcBorders>
        <w:shd w:val="clear" w:color="auto" w:fill="FFFFFF" w:themeFill="background1"/>
      </w:tcPr>
    </w:tblStylePr>
    <w:tblStylePr w:type="lastRow">
      <w:tcPr>
        <w:tcBorders>
          <w:top w:val="single" w:color="9BBB59" w:themeColor="accent3"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9BBB59" w:themeColor="accent3" w:sz="8" w:space="0"/>
          <w:insideH w:val="nil"/>
          <w:insideV w:val="nil"/>
        </w:tcBorders>
        <w:shd w:val="clear" w:color="auto" w:fill="FFFFFF" w:themeFill="background1"/>
      </w:tcPr>
    </w:tblStylePr>
    <w:tblStylePr w:type="lastCol">
      <w:tcPr>
        <w:tcBorders>
          <w:top w:val="nil"/>
          <w:left w:val="single" w:color="9BBB59" w:themeColor="accent3"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styleId="112">
    <w:name w:val="Medium List 2 Accent 4"/>
    <w:basedOn w:val="12"/>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cPr>
        <w:tcBorders>
          <w:top w:val="nil"/>
          <w:left w:val="nil"/>
          <w:bottom w:val="single" w:color="8064A2" w:themeColor="accent4" w:sz="24" w:space="0"/>
          <w:right w:val="nil"/>
          <w:insideH w:val="nil"/>
          <w:insideV w:val="nil"/>
        </w:tcBorders>
        <w:shd w:val="clear" w:color="auto" w:fill="FFFFFF" w:themeFill="background1"/>
      </w:tcPr>
    </w:tblStylePr>
    <w:tblStylePr w:type="lastRow">
      <w:tcPr>
        <w:tcBorders>
          <w:top w:val="single" w:color="8064A2" w:themeColor="accent4"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8064A2" w:themeColor="accent4" w:sz="8" w:space="0"/>
          <w:insideH w:val="nil"/>
          <w:insideV w:val="nil"/>
        </w:tcBorders>
        <w:shd w:val="clear" w:color="auto" w:fill="FFFFFF" w:themeFill="background1"/>
      </w:tcPr>
    </w:tblStylePr>
    <w:tblStylePr w:type="lastCol">
      <w:tcPr>
        <w:tcBorders>
          <w:top w:val="nil"/>
          <w:left w:val="single" w:color="8064A2" w:themeColor="accent4"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styleId="113">
    <w:name w:val="Medium List 2 Accent 5"/>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cPr>
        <w:tcBorders>
          <w:top w:val="nil"/>
          <w:left w:val="nil"/>
          <w:bottom w:val="single" w:color="4BACC6" w:themeColor="accent5" w:sz="24" w:space="0"/>
          <w:right w:val="nil"/>
          <w:insideH w:val="nil"/>
          <w:insideV w:val="nil"/>
        </w:tcBorders>
        <w:shd w:val="clear" w:color="auto" w:fill="FFFFFF" w:themeFill="background1"/>
      </w:tcPr>
    </w:tblStylePr>
    <w:tblStylePr w:type="lastRow">
      <w:tcPr>
        <w:tcBorders>
          <w:top w:val="single" w:color="4BACC6" w:themeColor="accent5"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BACC6" w:themeColor="accent5" w:sz="8" w:space="0"/>
          <w:insideH w:val="nil"/>
          <w:insideV w:val="nil"/>
        </w:tcBorders>
        <w:shd w:val="clear" w:color="auto" w:fill="FFFFFF" w:themeFill="background1"/>
      </w:tcPr>
    </w:tblStylePr>
    <w:tblStylePr w:type="lastCol">
      <w:tcPr>
        <w:tcBorders>
          <w:top w:val="nil"/>
          <w:left w:val="single" w:color="4BACC6" w:themeColor="accent5"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styleId="114">
    <w:name w:val="Medium List 2 Accent 6"/>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cPr>
        <w:tcBorders>
          <w:top w:val="nil"/>
          <w:left w:val="nil"/>
          <w:bottom w:val="single" w:color="F79646" w:themeColor="accent6" w:sz="24" w:space="0"/>
          <w:right w:val="nil"/>
          <w:insideH w:val="nil"/>
          <w:insideV w:val="nil"/>
        </w:tcBorders>
        <w:shd w:val="clear" w:color="auto" w:fill="FFFFFF" w:themeFill="background1"/>
      </w:tcPr>
    </w:tblStylePr>
    <w:tblStylePr w:type="lastRow">
      <w:tcPr>
        <w:tcBorders>
          <w:top w:val="single" w:color="F79646" w:themeColor="accent6"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F79646" w:themeColor="accent6" w:sz="8" w:space="0"/>
          <w:insideH w:val="nil"/>
          <w:insideV w:val="nil"/>
        </w:tcBorders>
        <w:shd w:val="clear" w:color="auto" w:fill="FFFFFF" w:themeFill="background1"/>
      </w:tcPr>
    </w:tblStylePr>
    <w:tblStylePr w:type="lastCol">
      <w:tcPr>
        <w:tcBorders>
          <w:top w:val="nil"/>
          <w:left w:val="single" w:color="F79646" w:themeColor="accent6"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styleId="115">
    <w:name w:val="Medium Grid 1"/>
    <w:basedOn w:val="12"/>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16">
    <w:name w:val="Medium Grid 1 Accent 1"/>
    <w:basedOn w:val="1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cPr>
        <w:tcBorders>
          <w:top w:val="single" w:color="7BA0CD" w:themeColor="accent1" w:themeTint="BF" w:sz="18" w:space="0"/>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17">
    <w:name w:val="Medium Grid 1 Accent 2"/>
    <w:basedOn w:val="12"/>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cPr>
        <w:tcBorders>
          <w:top w:val="single" w:color="CF7B79" w:themeColor="accent2" w:themeTint="BF" w:sz="18" w:space="0"/>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18">
    <w:name w:val="Medium Grid 1 Accent 3"/>
    <w:basedOn w:val="1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cPr>
        <w:tcBorders>
          <w:top w:val="single" w:color="B4CC82" w:themeColor="accent3" w:themeTint="BF" w:sz="18" w:space="0"/>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19">
    <w:name w:val="Medium Grid 1 Accent 4"/>
    <w:basedOn w:val="12"/>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cPr>
        <w:tcBorders>
          <w:top w:val="single" w:color="9F8AB9" w:themeColor="accent4" w:themeTint="BF" w:sz="18" w:space="0"/>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20">
    <w:name w:val="Medium Grid 1 Accent 5"/>
    <w:basedOn w:val="12"/>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cPr>
        <w:tcBorders>
          <w:top w:val="single" w:color="78C0D4" w:themeColor="accent5" w:themeTint="BF" w:sz="18" w:space="0"/>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21">
    <w:name w:val="Medium Grid 1 Accent 6"/>
    <w:basedOn w:val="12"/>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cPr>
        <w:tcBorders>
          <w:top w:val="single" w:color="F9B074" w:themeColor="accent6" w:themeTint="BF" w:sz="18" w:space="0"/>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styleId="122">
    <w:name w:val="Medium Grid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styleId="123">
    <w:name w:val="Medium Grid 2 Accent 1"/>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cPr>
        <w:shd w:val="clear" w:color="auto" w:fill="EDF2F8"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insideV w:val="single" w:sz="6" w:space="0"/>
        </w:tcBorders>
        <w:shd w:val="clear" w:color="auto" w:fill="A7C0DE" w:themeFill="accent1" w:themeFillTint="7F"/>
      </w:tcPr>
    </w:tblStylePr>
    <w:tblStylePr w:type="nwCell">
      <w:tcPr>
        <w:shd w:val="clear" w:color="auto" w:fill="FFFFFF" w:themeFill="background1"/>
      </w:tcPr>
    </w:tblStylePr>
  </w:style>
  <w:style w:type="table" w:styleId="124">
    <w:name w:val="Medium Grid 2 Accent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cPr>
        <w:shd w:val="clear" w:color="auto" w:fill="F8EDED"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insideV w:val="single" w:sz="6" w:space="0"/>
        </w:tcBorders>
        <w:shd w:val="clear" w:color="auto" w:fill="DFA7A6" w:themeFill="accent2" w:themeFillTint="7F"/>
      </w:tcPr>
    </w:tblStylePr>
    <w:tblStylePr w:type="nwCell">
      <w:tcPr>
        <w:shd w:val="clear" w:color="auto" w:fill="FFFFFF" w:themeFill="background1"/>
      </w:tcPr>
    </w:tblStylePr>
  </w:style>
  <w:style w:type="table" w:styleId="125">
    <w:name w:val="Medium Grid 2 Accent 3"/>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cPr>
        <w:shd w:val="clear" w:color="auto" w:fill="F5F8EE"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insideV w:val="single" w:sz="6" w:space="0"/>
        </w:tcBorders>
        <w:shd w:val="clear" w:color="auto" w:fill="CDDDAC" w:themeFill="accent3" w:themeFillTint="7F"/>
      </w:tcPr>
    </w:tblStylePr>
    <w:tblStylePr w:type="nwCell">
      <w:tcPr>
        <w:shd w:val="clear" w:color="auto" w:fill="FFFFFF" w:themeFill="background1"/>
      </w:tcPr>
    </w:tblStylePr>
  </w:style>
  <w:style w:type="table" w:styleId="126">
    <w:name w:val="Medium Grid 2 Accent 4"/>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cPr>
        <w:shd w:val="clear" w:color="auto" w:fill="F2EFF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insideV w:val="single" w:sz="6" w:space="0"/>
        </w:tcBorders>
        <w:shd w:val="clear" w:color="auto" w:fill="BFB1D0" w:themeFill="accent4" w:themeFillTint="7F"/>
      </w:tcPr>
    </w:tblStylePr>
    <w:tblStylePr w:type="nwCell">
      <w:tcPr>
        <w:shd w:val="clear" w:color="auto" w:fill="FFFFFF" w:themeFill="background1"/>
      </w:tcPr>
    </w:tblStylePr>
  </w:style>
  <w:style w:type="table" w:styleId="127">
    <w:name w:val="Medium Grid 2 Accent 5"/>
    <w:basedOn w:val="12"/>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cPr>
        <w:shd w:val="clear" w:color="auto" w:fill="EDF6F9"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insideV w:val="single" w:sz="6" w:space="0"/>
        </w:tcBorders>
        <w:shd w:val="clear" w:color="auto" w:fill="A5D5E2" w:themeFill="accent5" w:themeFillTint="7F"/>
      </w:tcPr>
    </w:tblStylePr>
    <w:tblStylePr w:type="nwCell">
      <w:tcPr>
        <w:shd w:val="clear" w:color="auto" w:fill="FFFFFF" w:themeFill="background1"/>
      </w:tcPr>
    </w:tblStylePr>
  </w:style>
  <w:style w:type="table" w:styleId="128">
    <w:name w:val="Medium Grid 2 Accent 6"/>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cPr>
        <w:shd w:val="clear" w:color="auto" w:fill="FEF4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insideV w:val="single" w:sz="6" w:space="0"/>
        </w:tcBorders>
        <w:shd w:val="clear" w:color="auto" w:fill="FBCAA2" w:themeFill="accent6" w:themeFillTint="7F"/>
      </w:tcPr>
    </w:tblStylePr>
    <w:tblStylePr w:type="nwCell">
      <w:tcPr>
        <w:shd w:val="clear" w:color="auto" w:fill="FFFFFF" w:themeFill="background1"/>
      </w:tcPr>
    </w:tblStylePr>
  </w:style>
  <w:style w:type="table" w:styleId="129">
    <w:name w:val="Medium Grid 3"/>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30">
    <w:name w:val="Medium Grid 3 Accent 1"/>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F81BD"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31">
    <w:name w:val="Medium Grid 3 Accent 2"/>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C0504D"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32">
    <w:name w:val="Medium Grid 3 Accent 3"/>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9BBB59"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33">
    <w:name w:val="Medium Grid 3 Accent 4"/>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8064A2"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34">
    <w:name w:val="Medium Grid 3 Accent 5"/>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BACC6"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35">
    <w:name w:val="Medium Grid 3 Accent 6"/>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79646"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36">
    <w:name w:val="Dark List"/>
    <w:basedOn w:val="12"/>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styleId="137">
    <w:name w:val="Dark List Accent 1"/>
    <w:basedOn w:val="12"/>
    <w:uiPriority w:val="70"/>
    <w:rPr>
      <w:color w:val="FFFFFF" w:themeColor="background1"/>
      <w14:textFill>
        <w14:solidFill>
          <w14:schemeClr w14:val="bg1"/>
        </w14:solidFill>
      </w14:textFill>
    </w:rPr>
    <w:tcPr>
      <w:shd w:val="clear" w:color="auto" w:fill="4F81BD" w:themeFill="accen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styleId="138">
    <w:name w:val="Dark List Accent 2"/>
    <w:basedOn w:val="12"/>
    <w:qFormat/>
    <w:uiPriority w:val="70"/>
    <w:rPr>
      <w:color w:val="FFFFFF" w:themeColor="background1"/>
      <w14:textFill>
        <w14:solidFill>
          <w14:schemeClr w14:val="bg1"/>
        </w14:solidFill>
      </w14:textFill>
    </w:rPr>
    <w:tcPr>
      <w:shd w:val="clear" w:color="auto" w:fill="C0504D" w:themeFill="accent2"/>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styleId="139">
    <w:name w:val="Dark List Accent 3"/>
    <w:basedOn w:val="12"/>
    <w:qFormat/>
    <w:uiPriority w:val="70"/>
    <w:rPr>
      <w:color w:val="FFFFFF" w:themeColor="background1"/>
      <w14:textFill>
        <w14:solidFill>
          <w14:schemeClr w14:val="bg1"/>
        </w14:solidFill>
      </w14:textFill>
    </w:rPr>
    <w:tcPr>
      <w:shd w:val="clear" w:color="auto" w:fill="9BBB59" w:themeFill="accent3"/>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styleId="140">
    <w:name w:val="Dark List Accent 4"/>
    <w:basedOn w:val="12"/>
    <w:qFormat/>
    <w:uiPriority w:val="70"/>
    <w:rPr>
      <w:color w:val="FFFFFF" w:themeColor="background1"/>
      <w14:textFill>
        <w14:solidFill>
          <w14:schemeClr w14:val="bg1"/>
        </w14:solidFill>
      </w14:textFill>
    </w:rPr>
    <w:tcPr>
      <w:shd w:val="clear" w:color="auto" w:fill="8064A2" w:themeFill="accent4"/>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styleId="141">
    <w:name w:val="Dark List Accent 5"/>
    <w:basedOn w:val="12"/>
    <w:qFormat/>
    <w:uiPriority w:val="70"/>
    <w:rPr>
      <w:color w:val="FFFFFF" w:themeColor="background1"/>
      <w14:textFill>
        <w14:solidFill>
          <w14:schemeClr w14:val="bg1"/>
        </w14:solidFill>
      </w14:textFill>
    </w:rPr>
    <w:tcPr>
      <w:shd w:val="clear" w:color="auto" w:fill="4BACC6"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styleId="142">
    <w:name w:val="Dark List Accent 6"/>
    <w:basedOn w:val="12"/>
    <w:uiPriority w:val="70"/>
    <w:rPr>
      <w:color w:val="FFFFFF" w:themeColor="background1"/>
      <w14:textFill>
        <w14:solidFill>
          <w14:schemeClr w14:val="bg1"/>
        </w14:solidFill>
      </w14:textFill>
    </w:rPr>
    <w:tcPr>
      <w:shd w:val="clear" w:color="auto" w:fill="F79646" w:themeFill="accent6"/>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styleId="143">
    <w:name w:val="Colorful Shading"/>
    <w:basedOn w:val="1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4">
    <w:name w:val="Colorful Shading Accent 1"/>
    <w:basedOn w:val="1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5">
    <w:name w:val="Colorful Shading Accent 2"/>
    <w:basedOn w:val="1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6">
    <w:name w:val="Colorful Shading Accent 3"/>
    <w:basedOn w:val="12"/>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styleId="147">
    <w:name w:val="Colorful Shading Accent 4"/>
    <w:basedOn w:val="1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8">
    <w:name w:val="Colorful Shading Accent 5"/>
    <w:basedOn w:val="1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9">
    <w:name w:val="Colorful Shading Accent 6"/>
    <w:basedOn w:val="12"/>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0">
    <w:name w:val="Colorful List"/>
    <w:basedOn w:val="12"/>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styleId="151">
    <w:name w:val="Colorful List Accent 1"/>
    <w:basedOn w:val="12"/>
    <w:uiPriority w:val="72"/>
    <w:rPr>
      <w:color w:val="000000" w:themeColor="text1"/>
      <w14:textFill>
        <w14:solidFill>
          <w14:schemeClr w14:val="tx1"/>
        </w14:solidFill>
      </w14:textFill>
    </w:rPr>
    <w:tcPr>
      <w:shd w:val="clear" w:color="auto" w:fill="EDF2F8"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styleId="152">
    <w:name w:val="Colorful List Accent 2"/>
    <w:basedOn w:val="12"/>
    <w:qFormat/>
    <w:uiPriority w:val="72"/>
    <w:rPr>
      <w:color w:val="000000" w:themeColor="text1"/>
      <w14:textFill>
        <w14:solidFill>
          <w14:schemeClr w14:val="tx1"/>
        </w14:solidFill>
      </w14:textFill>
    </w:rPr>
    <w:tcPr>
      <w:shd w:val="clear" w:color="auto" w:fill="F8EDED"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styleId="153">
    <w:name w:val="Colorful List Accent 3"/>
    <w:basedOn w:val="12"/>
    <w:uiPriority w:val="72"/>
    <w:rPr>
      <w:color w:val="000000" w:themeColor="text1"/>
      <w14:textFill>
        <w14:solidFill>
          <w14:schemeClr w14:val="tx1"/>
        </w14:solidFill>
      </w14:textFill>
    </w:rPr>
    <w:tcPr>
      <w:shd w:val="clear" w:color="auto" w:fill="F5F8EE"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styleId="154">
    <w:name w:val="Colorful List Accent 4"/>
    <w:basedOn w:val="12"/>
    <w:uiPriority w:val="72"/>
    <w:rPr>
      <w:color w:val="000000" w:themeColor="text1"/>
      <w14:textFill>
        <w14:solidFill>
          <w14:schemeClr w14:val="tx1"/>
        </w14:solidFill>
      </w14:textFill>
    </w:rPr>
    <w:tcPr>
      <w:shd w:val="clear" w:color="auto" w:fill="F2EFF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styleId="155">
    <w:name w:val="Colorful List Accent 5"/>
    <w:basedOn w:val="12"/>
    <w:qFormat/>
    <w:uiPriority w:val="72"/>
    <w:rPr>
      <w:color w:val="000000" w:themeColor="text1"/>
      <w14:textFill>
        <w14:solidFill>
          <w14:schemeClr w14:val="tx1"/>
        </w14:solidFill>
      </w14:textFill>
    </w:rPr>
    <w:tcPr>
      <w:shd w:val="clear" w:color="auto" w:fill="EDF6F9"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styleId="156">
    <w:name w:val="Colorful List Accent 6"/>
    <w:basedOn w:val="12"/>
    <w:qFormat/>
    <w:uiPriority w:val="72"/>
    <w:rPr>
      <w:color w:val="000000" w:themeColor="text1"/>
      <w14:textFill>
        <w14:solidFill>
          <w14:schemeClr w14:val="tx1"/>
        </w14:solidFill>
      </w14:textFill>
    </w:rPr>
    <w:tcPr>
      <w:shd w:val="clear" w:color="auto" w:fill="FEF4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styleId="157">
    <w:name w:val="Colorful Grid"/>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58">
    <w:name w:val="Colorful Grid Accent 1"/>
    <w:basedOn w:val="1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14:textFill>
          <w14:solidFill>
            <w14:schemeClr w14:val="tx1"/>
          </w14:solidFill>
        </w14:textFill>
      </w:rPr>
      <w:tcPr>
        <w:shd w:val="clear" w:color="auto" w:fill="B8CCE4" w:themeFill="accent1" w:themeFillTint="66"/>
      </w:tcPr>
    </w:tblStylePr>
    <w:tblStylePr w:type="firstCol">
      <w:rPr>
        <w:color w:val="FFFFFF" w:themeColor="background1"/>
        <w14:textFill>
          <w14:solidFill>
            <w14:schemeClr w14:val="bg1"/>
          </w14:solidFill>
        </w14:textFill>
      </w:rPr>
      <w:tcPr>
        <w:shd w:val="clear" w:color="auto" w:fill="366091" w:themeFill="accent1" w:themeFillShade="BF"/>
      </w:tcPr>
    </w:tblStylePr>
    <w:tblStylePr w:type="lastCol">
      <w:rPr>
        <w:color w:val="FFFFFF" w:themeColor="background1"/>
        <w14:textFill>
          <w14:solidFill>
            <w14:schemeClr w14:val="bg1"/>
          </w14:solidFill>
        </w14:textFill>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59">
    <w:name w:val="Colorful Grid Accent 2"/>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14:textFill>
          <w14:solidFill>
            <w14:schemeClr w14:val="tx1"/>
          </w14:solidFill>
        </w14:textFill>
      </w:rPr>
      <w:tcPr>
        <w:shd w:val="clear" w:color="auto" w:fill="E5B8B7" w:themeFill="accent2" w:themeFillTint="66"/>
      </w:tcPr>
    </w:tblStylePr>
    <w:tblStylePr w:type="firstCol">
      <w:rPr>
        <w:color w:val="FFFFFF" w:themeColor="background1"/>
        <w14:textFill>
          <w14:solidFill>
            <w14:schemeClr w14:val="bg1"/>
          </w14:solidFill>
        </w14:textFill>
      </w:rPr>
      <w:tcPr>
        <w:shd w:val="clear" w:color="auto" w:fill="943734" w:themeFill="accent2" w:themeFillShade="BF"/>
      </w:tcPr>
    </w:tblStylePr>
    <w:tblStylePr w:type="lastCol">
      <w:rPr>
        <w:color w:val="FFFFFF" w:themeColor="background1"/>
        <w14:textFill>
          <w14:solidFill>
            <w14:schemeClr w14:val="bg1"/>
          </w14:solidFill>
        </w14:textFill>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60">
    <w:name w:val="Colorful Grid Accent 3"/>
    <w:basedOn w:val="1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14:textFill>
          <w14:solidFill>
            <w14:schemeClr w14:val="tx1"/>
          </w14:solidFill>
        </w14:textFill>
      </w:rPr>
      <w:tcPr>
        <w:shd w:val="clear" w:color="auto" w:fill="D6E3BC" w:themeFill="accent3" w:themeFillTint="66"/>
      </w:tcPr>
    </w:tblStylePr>
    <w:tblStylePr w:type="firstCol">
      <w:rPr>
        <w:color w:val="FFFFFF" w:themeColor="background1"/>
        <w14:textFill>
          <w14:solidFill>
            <w14:schemeClr w14:val="bg1"/>
          </w14:solidFill>
        </w14:textFill>
      </w:rPr>
      <w:tcPr>
        <w:shd w:val="clear" w:color="auto" w:fill="76923C" w:themeFill="accent3" w:themeFillShade="BF"/>
      </w:tcPr>
    </w:tblStylePr>
    <w:tblStylePr w:type="lastCol">
      <w:rPr>
        <w:color w:val="FFFFFF" w:themeColor="background1"/>
        <w14:textFill>
          <w14:solidFill>
            <w14:schemeClr w14:val="bg1"/>
          </w14:solidFill>
        </w14:textFill>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61">
    <w:name w:val="Colorful Grid Accent 4"/>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14:textFill>
          <w14:solidFill>
            <w14:schemeClr w14:val="tx1"/>
          </w14:solidFill>
        </w14:textFill>
      </w:rPr>
      <w:tcPr>
        <w:shd w:val="clear" w:color="auto" w:fill="CCC0D9" w:themeFill="accent4" w:themeFillTint="66"/>
      </w:tcPr>
    </w:tblStylePr>
    <w:tblStylePr w:type="firstCol">
      <w:rPr>
        <w:color w:val="FFFFFF" w:themeColor="background1"/>
        <w14:textFill>
          <w14:solidFill>
            <w14:schemeClr w14:val="bg1"/>
          </w14:solidFill>
        </w14:textFill>
      </w:rPr>
      <w:tcPr>
        <w:shd w:val="clear" w:color="auto" w:fill="5F497A" w:themeFill="accent4" w:themeFillShade="BF"/>
      </w:tcPr>
    </w:tblStylePr>
    <w:tblStylePr w:type="lastCol">
      <w:rPr>
        <w:color w:val="FFFFFF" w:themeColor="background1"/>
        <w14:textFill>
          <w14:solidFill>
            <w14:schemeClr w14:val="bg1"/>
          </w14:solidFill>
        </w14:textFill>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62">
    <w:name w:val="Colorful Grid Accent 5"/>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14:textFill>
          <w14:solidFill>
            <w14:schemeClr w14:val="tx1"/>
          </w14:solidFill>
        </w14:textFill>
      </w:rPr>
      <w:tcPr>
        <w:shd w:val="clear" w:color="auto" w:fill="B6DDE8" w:themeFill="accent5" w:themeFillTint="66"/>
      </w:tcPr>
    </w:tblStylePr>
    <w:tblStylePr w:type="firstCol">
      <w:rPr>
        <w:color w:val="FFFFFF" w:themeColor="background1"/>
        <w14:textFill>
          <w14:solidFill>
            <w14:schemeClr w14:val="bg1"/>
          </w14:solidFill>
        </w14:textFill>
      </w:rPr>
      <w:tcPr>
        <w:shd w:val="clear" w:color="auto" w:fill="31849B" w:themeFill="accent5" w:themeFillShade="BF"/>
      </w:tcPr>
    </w:tblStylePr>
    <w:tblStylePr w:type="lastCol">
      <w:rPr>
        <w:color w:val="FFFFFF" w:themeColor="background1"/>
        <w14:textFill>
          <w14:solidFill>
            <w14:schemeClr w14:val="bg1"/>
          </w14:solidFill>
        </w14:textFill>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63">
    <w:name w:val="Colorful Grid Accent 6"/>
    <w:basedOn w:val="1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14:textFill>
          <w14:solidFill>
            <w14:schemeClr w14:val="tx1"/>
          </w14:solidFill>
        </w14:textFill>
      </w:rPr>
      <w:tcPr>
        <w:shd w:val="clear" w:color="auto" w:fill="FBD4B4" w:themeFill="accent6" w:themeFillTint="66"/>
      </w:tcPr>
    </w:tblStylePr>
    <w:tblStylePr w:type="firstCol">
      <w:rPr>
        <w:color w:val="FFFFFF" w:themeColor="background1"/>
        <w14:textFill>
          <w14:solidFill>
            <w14:schemeClr w14:val="bg1"/>
          </w14:solidFill>
        </w14:textFill>
      </w:rPr>
      <w:tcPr>
        <w:shd w:val="clear" w:color="auto" w:fill="E36C09" w:themeFill="accent6" w:themeFillShade="BF"/>
      </w:tcPr>
    </w:tblStylePr>
    <w:tblStylePr w:type="lastCol">
      <w:rPr>
        <w:color w:val="FFFFFF" w:themeColor="background1"/>
        <w14:textFill>
          <w14:solidFill>
            <w14:schemeClr w14:val="bg1"/>
          </w14:solidFill>
        </w14:textFill>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 Id="rId10" Type="http://schemas.openxmlformats.org/officeDocument/2006/relationships/hyperlink" Target="https://benjamins.com/catalog/rro/guidelines" TargetMode="External"/><Relationship Id="rId11" Type="http://schemas.openxmlformats.org/officeDocument/2006/relationships/hyperlink" Target="https://www.editorialmanager.com/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2854C-EEB5-E149-809D-1354BB56C1F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928</Words>
  <Characters>5871</Characters>
  <Lines>40</Lines>
  <Paragraphs>11</Paragraphs>
  <TotalTime>0</TotalTime>
  <ScaleCrop>false</ScaleCrop>
  <LinksUpToDate>false</LinksUpToDate>
  <CharactersWithSpaces>6751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carlo</dc:creator>
  <cp:lastModifiedBy>Carlos Nogueira</cp:lastModifiedBy>
  <dcterms:modified xsi:type="dcterms:W3CDTF">2026-08-18T18:40:10Z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eyJoZGlkIjoiMzA2Mjg5ZjZkMjdhNmYzZDJmYTA4MzEwN2EyYTk2ZjkiLCJ1c2VySWQiOiIzNzI4MjA4NDkwNTk5In0=</vt:lpwstr>
  </property>
  <property fmtid="{D5CDD505-2E9C-101B-9397-08002B2CF9AE}" pid="3" name="KSOProductBuildVer">
    <vt:lpwstr>2070-12.1.0.28032</vt:lpwstr>
  </property>
  <property fmtid="{D5CDD505-2E9C-101B-9397-08002B2CF9AE}" pid="4" name="ICV">
    <vt:lpwstr>BB43F74C74984E9AB1A0143DB7C0DF5B_12</vt:lpwstr>
  </property>
</Properties>
</file>