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BB0D680" w14:textId="77777777" w:rsidR="000B78A0" w:rsidRPr="001C1CE4" w:rsidRDefault="000B78A0" w:rsidP="000B78A0">
      <w:pPr>
        <w:jc w:val="both"/>
        <w:rPr>
          <w:rFonts w:ascii="Garamond" w:hAnsi="Garamond"/>
          <w:b/>
          <w:bCs/>
          <w:sz w:val="24"/>
          <w:szCs w:val="24"/>
          <w:lang w:val="es-ES"/>
        </w:rPr>
      </w:pPr>
    </w:p>
    <w:p w14:paraId="63BBC831" w14:textId="77777777" w:rsidR="001C1CE4" w:rsidRPr="001C1CE4" w:rsidRDefault="001C1CE4" w:rsidP="001C1CE4">
      <w:pPr>
        <w:pStyle w:val="NormaleWeb"/>
        <w:jc w:val="center"/>
        <w:rPr>
          <w:rFonts w:ascii="Garamond" w:hAnsi="Garamond"/>
          <w:b/>
          <w:bCs/>
          <w:lang w:val="pt-PT"/>
        </w:rPr>
      </w:pPr>
      <w:r w:rsidRPr="001C1CE4">
        <w:rPr>
          <w:rFonts w:ascii="Garamond" w:hAnsi="Garamond"/>
          <w:b/>
          <w:bCs/>
          <w:lang w:val="pt-PT"/>
        </w:rPr>
        <w:t>CFP n. 7 (2026)</w:t>
      </w:r>
    </w:p>
    <w:p w14:paraId="35FBE135" w14:textId="73A43BB8" w:rsidR="001C1CE4" w:rsidRPr="001C1CE4" w:rsidRDefault="001C1CE4" w:rsidP="001C1CE4">
      <w:pPr>
        <w:pStyle w:val="NormaleWeb"/>
        <w:jc w:val="center"/>
        <w:rPr>
          <w:rFonts w:ascii="Garamond" w:hAnsi="Garamond"/>
          <w:b/>
          <w:bCs/>
          <w:lang w:val="pt-PT"/>
        </w:rPr>
      </w:pPr>
      <w:r w:rsidRPr="001C1CE4">
        <w:rPr>
          <w:rFonts w:ascii="Garamond" w:hAnsi="Garamond"/>
          <w:b/>
          <w:bCs/>
          <w:lang w:val="pt-PT"/>
        </w:rPr>
        <w:t xml:space="preserve">Violência de género nas literaturas europeias contemporâneas: representações, subversões e </w:t>
      </w:r>
      <w:proofErr w:type="spellStart"/>
      <w:r w:rsidRPr="001C1CE4">
        <w:rPr>
          <w:rFonts w:ascii="Garamond" w:hAnsi="Garamond"/>
          <w:b/>
          <w:bCs/>
          <w:lang w:val="pt-PT"/>
        </w:rPr>
        <w:t>contra-narra</w:t>
      </w:r>
      <w:r w:rsidR="001C34C1">
        <w:rPr>
          <w:rFonts w:ascii="Garamond" w:hAnsi="Garamond"/>
          <w:b/>
          <w:bCs/>
          <w:lang w:val="pt-PT"/>
        </w:rPr>
        <w:t>ções</w:t>
      </w:r>
      <w:proofErr w:type="spellEnd"/>
      <w:r w:rsidR="001C34C1">
        <w:rPr>
          <w:rFonts w:ascii="Garamond" w:hAnsi="Garamond"/>
          <w:b/>
          <w:bCs/>
          <w:lang w:val="pt-PT"/>
        </w:rPr>
        <w:t xml:space="preserve"> </w:t>
      </w:r>
    </w:p>
    <w:p w14:paraId="1AFB8D31" w14:textId="77777777" w:rsidR="001C1CE4" w:rsidRPr="001C1CE4" w:rsidRDefault="00806CEC" w:rsidP="001C1CE4">
      <w:pPr>
        <w:jc w:val="center"/>
        <w:rPr>
          <w:rFonts w:ascii="Garamond" w:hAnsi="Garamond"/>
          <w:b/>
          <w:bCs/>
          <w:sz w:val="24"/>
          <w:szCs w:val="24"/>
          <w:lang w:val="es-ES"/>
        </w:rPr>
      </w:pPr>
      <w:hyperlink r:id="rId7" w:history="1">
        <w:r w:rsidR="001C1CE4" w:rsidRPr="001C1CE4">
          <w:rPr>
            <w:rStyle w:val="Collegamentoipertestuale"/>
            <w:rFonts w:ascii="Garamond" w:hAnsi="Garamond"/>
            <w:b/>
            <w:bCs/>
            <w:sz w:val="24"/>
            <w:szCs w:val="24"/>
            <w:lang w:val="es-ES"/>
          </w:rPr>
          <w:t>https://rivistanube.dlls.univr.it/index</w:t>
        </w:r>
      </w:hyperlink>
      <w:r w:rsidR="001C1CE4" w:rsidRPr="001C1CE4">
        <w:rPr>
          <w:rFonts w:ascii="Garamond" w:hAnsi="Garamond"/>
          <w:b/>
          <w:bCs/>
          <w:sz w:val="24"/>
          <w:szCs w:val="24"/>
          <w:lang w:val="es-ES"/>
        </w:rPr>
        <w:t xml:space="preserve"> </w:t>
      </w:r>
    </w:p>
    <w:p w14:paraId="3F644999" w14:textId="77777777" w:rsidR="001C1CE4" w:rsidRPr="001C1CE4" w:rsidRDefault="001C1CE4" w:rsidP="001C1CE4">
      <w:pPr>
        <w:pStyle w:val="NormaleWeb"/>
        <w:jc w:val="both"/>
        <w:rPr>
          <w:rFonts w:ascii="Garamond" w:hAnsi="Garamond"/>
          <w:lang w:val="pt-PT"/>
        </w:rPr>
      </w:pPr>
      <w:r w:rsidRPr="001C1CE4">
        <w:rPr>
          <w:rFonts w:ascii="Garamond" w:hAnsi="Garamond"/>
          <w:lang w:val="pt-PT"/>
        </w:rPr>
        <w:t>Nos últimos anos, a emergência de movimentos transnacionais como o #MeToo e dos feminismos contribuiu para a construção de uma nova consciência social em torno das múltiplas formas de opressão e violência de género que afetam as mulheres e os sujeitos feminizados, enquanto situados numa posição de subalternidade dentro de um sistema binário que sustenta a ordem patriarcal. Neste contexto, noções como abuso, assédio, violação e consentimento consolidaram-se como categorias políticas centrais, articulando uma perspetiva que se distancia das interpretações jurídicas tradicionais destes fenómenos. Tais noções introduzem novas formas de nomear, denunciar e condenar a violência de género, ao mesmo tempo que impulsionam políticas e programas sociais orientados para a proteção, a reparação e a emancipação das pessoas oprimidas.</w:t>
      </w:r>
    </w:p>
    <w:p w14:paraId="05684049" w14:textId="6CA7D31B" w:rsidR="001C1CE4" w:rsidRPr="001C1CE4" w:rsidRDefault="001C1CE4" w:rsidP="001C1CE4">
      <w:pPr>
        <w:pStyle w:val="NormaleWeb"/>
        <w:jc w:val="both"/>
        <w:rPr>
          <w:rFonts w:ascii="Garamond" w:hAnsi="Garamond"/>
          <w:lang w:val="pt-PT"/>
        </w:rPr>
      </w:pPr>
      <w:r w:rsidRPr="001C1CE4">
        <w:rPr>
          <w:rFonts w:ascii="Garamond" w:hAnsi="Garamond"/>
          <w:lang w:val="pt-PT"/>
        </w:rPr>
        <w:t xml:space="preserve">O debate público sobre a violência de género transformou-se profundamente, reinscrevendo no espaço coletivo experiências historicamente relegadas para a esfera privada. Como assinala Rita </w:t>
      </w:r>
      <w:proofErr w:type="spellStart"/>
      <w:r w:rsidRPr="001C1CE4">
        <w:rPr>
          <w:rFonts w:ascii="Garamond" w:hAnsi="Garamond"/>
          <w:lang w:val="pt-PT"/>
        </w:rPr>
        <w:t>Segato</w:t>
      </w:r>
      <w:proofErr w:type="spellEnd"/>
      <w:r w:rsidRPr="001C1CE4">
        <w:rPr>
          <w:rFonts w:ascii="Garamond" w:hAnsi="Garamond"/>
          <w:lang w:val="pt-PT"/>
        </w:rPr>
        <w:t xml:space="preserve"> em </w:t>
      </w:r>
      <w:r w:rsidR="008325A4">
        <w:rPr>
          <w:rStyle w:val="Enfasicorsivo"/>
          <w:rFonts w:ascii="Garamond" w:eastAsiaTheme="majorEastAsia" w:hAnsi="Garamond"/>
          <w:lang w:val="pt-PT"/>
        </w:rPr>
        <w:t>A guerra contra as mulheres</w:t>
      </w:r>
      <w:r w:rsidRPr="001C1CE4">
        <w:rPr>
          <w:rFonts w:ascii="Garamond" w:hAnsi="Garamond"/>
          <w:lang w:val="pt-PT"/>
        </w:rPr>
        <w:t xml:space="preserve"> (2016), as estruturas patriarcais continuam a reproduzir-se através de dispositivos simbólicos e materiais profundamente enraizados na vida familiar e social, enquanto a crescente visibilidade dos testemunhos de violência revela os seus persistentes mecanismos de normalização. Paralelamente, a atenção pública evidenciou os limites das respostas institucionais e jurídicas, frequentemente incapazes de garantir proteção efetiva, justiça e reparação.</w:t>
      </w:r>
    </w:p>
    <w:p w14:paraId="0B76F1DC" w14:textId="77777777" w:rsidR="001C1CE4" w:rsidRPr="001C1CE4" w:rsidRDefault="001C1CE4" w:rsidP="001C1CE4">
      <w:pPr>
        <w:pStyle w:val="NormaleWeb"/>
        <w:jc w:val="both"/>
        <w:rPr>
          <w:rFonts w:ascii="Garamond" w:hAnsi="Garamond"/>
          <w:i/>
          <w:iCs/>
          <w:lang w:val="pt-PT"/>
        </w:rPr>
      </w:pPr>
      <w:r w:rsidRPr="001C1CE4">
        <w:rPr>
          <w:rFonts w:ascii="Garamond" w:hAnsi="Garamond"/>
          <w:lang w:val="pt-PT"/>
        </w:rPr>
        <w:t xml:space="preserve">Neste quadro, a literatura e a produção cultural adquirem um papel central enquanto espaços de análise crítica e de imaginação política. Seguindo a perspetiva de Deleuze e </w:t>
      </w:r>
      <w:proofErr w:type="spellStart"/>
      <w:r w:rsidRPr="001C1CE4">
        <w:rPr>
          <w:rFonts w:ascii="Garamond" w:hAnsi="Garamond"/>
          <w:lang w:val="pt-PT"/>
        </w:rPr>
        <w:t>Guattari</w:t>
      </w:r>
      <w:proofErr w:type="spellEnd"/>
      <w:r w:rsidRPr="001C1CE4">
        <w:rPr>
          <w:rFonts w:ascii="Garamond" w:hAnsi="Garamond"/>
          <w:lang w:val="pt-PT"/>
        </w:rPr>
        <w:t xml:space="preserve"> em </w:t>
      </w:r>
      <w:r w:rsidRPr="001C1CE4">
        <w:rPr>
          <w:rStyle w:val="Enfasicorsivo"/>
          <w:rFonts w:ascii="Garamond" w:eastAsiaTheme="majorEastAsia" w:hAnsi="Garamond"/>
          <w:lang w:val="pt-PT"/>
        </w:rPr>
        <w:t>Mil Planaltos. Capitalismo e Esquizofrenia</w:t>
      </w:r>
      <w:r w:rsidRPr="001C1CE4">
        <w:rPr>
          <w:rFonts w:ascii="Garamond" w:hAnsi="Garamond"/>
          <w:lang w:val="pt-PT"/>
        </w:rPr>
        <w:t xml:space="preserve"> (1980), a escrita pode funcionar como uma “máquina de guerra”, capaz não só de representar a violência, mas também de desarticular os seus pressupostos, interrogar os seus regimes discursivos e produzir </w:t>
      </w:r>
      <w:proofErr w:type="spellStart"/>
      <w:r w:rsidRPr="001C1CE4">
        <w:rPr>
          <w:rFonts w:ascii="Garamond" w:hAnsi="Garamond"/>
          <w:lang w:val="pt-PT"/>
        </w:rPr>
        <w:t>contra-narrativas</w:t>
      </w:r>
      <w:proofErr w:type="spellEnd"/>
      <w:r w:rsidRPr="001C1CE4">
        <w:rPr>
          <w:rFonts w:ascii="Garamond" w:hAnsi="Garamond"/>
          <w:lang w:val="pt-PT"/>
        </w:rPr>
        <w:t xml:space="preserve">. A partir desta perspetiva, o próximo número monográfico da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NuBE</w:t>
      </w:r>
      <w:proofErr w:type="spellEnd"/>
      <w:r w:rsidRPr="001C1CE4">
        <w:rPr>
          <w:rFonts w:ascii="Garamond" w:hAnsi="Garamond"/>
          <w:lang w:val="pt-PT"/>
        </w:rPr>
        <w:t xml:space="preserve">, previsto para o final de 2026, propõe-se examinar as múltiplas formas e direções através das </w:t>
      </w:r>
      <w:r w:rsidRPr="00D85130">
        <w:rPr>
          <w:rFonts w:ascii="Garamond" w:hAnsi="Garamond"/>
          <w:lang w:val="pt-PT"/>
        </w:rPr>
        <w:t>quais as literaturas europeias contemporâneas (a partir de 1990)</w:t>
      </w:r>
      <w:r w:rsidRPr="001C1CE4">
        <w:rPr>
          <w:rFonts w:ascii="Garamond" w:hAnsi="Garamond"/>
          <w:lang w:val="pt-PT"/>
        </w:rPr>
        <w:t xml:space="preserve"> abordam a violência de género — como experiência individual e coletiva, como trauma histórico e </w:t>
      </w:r>
      <w:proofErr w:type="spellStart"/>
      <w:r w:rsidRPr="001C1CE4">
        <w:rPr>
          <w:rFonts w:ascii="Garamond" w:hAnsi="Garamond"/>
          <w:lang w:val="pt-PT"/>
        </w:rPr>
        <w:t>intergeracional</w:t>
      </w:r>
      <w:proofErr w:type="spellEnd"/>
      <w:r w:rsidRPr="001C1CE4">
        <w:rPr>
          <w:rFonts w:ascii="Garamond" w:hAnsi="Garamond"/>
          <w:lang w:val="pt-PT"/>
        </w:rPr>
        <w:t>, como dispositivo de controlo social e como efeito de linguagens e imaginários patriarcais —, em diálogo crítico tanto com as frustrações face ao direito como com os (</w:t>
      </w:r>
      <w:proofErr w:type="spellStart"/>
      <w:r w:rsidRPr="001C1CE4">
        <w:rPr>
          <w:rFonts w:ascii="Garamond" w:hAnsi="Garamond"/>
          <w:lang w:val="pt-PT"/>
        </w:rPr>
        <w:t>des</w:t>
      </w:r>
      <w:proofErr w:type="spellEnd"/>
      <w:r w:rsidRPr="001C1CE4">
        <w:rPr>
          <w:rFonts w:ascii="Garamond" w:hAnsi="Garamond"/>
          <w:lang w:val="pt-PT"/>
        </w:rPr>
        <w:t>)encontros internos dos feminismos. O objetivo é analisar de que modo estas obras subvertem as representações hegemónicas da violência, recorrem a poéticas da vingança e imaginam formas alternativas de justiça, proteção e cuidado.</w:t>
      </w:r>
    </w:p>
    <w:p w14:paraId="6D294761" w14:textId="77777777" w:rsidR="001C1CE4" w:rsidRPr="001C1CE4" w:rsidRDefault="001C1CE4" w:rsidP="001C1CE4">
      <w:pPr>
        <w:pStyle w:val="NormaleWeb"/>
        <w:jc w:val="both"/>
        <w:rPr>
          <w:rFonts w:ascii="Garamond" w:hAnsi="Garamond"/>
          <w:lang w:val="pt-PT"/>
        </w:rPr>
      </w:pPr>
      <w:r w:rsidRPr="001C1CE4">
        <w:rPr>
          <w:rFonts w:ascii="Garamond" w:hAnsi="Garamond"/>
          <w:lang w:val="pt-PT"/>
        </w:rPr>
        <w:t xml:space="preserve">As múltiplas geografias da violência põem em evidência como a escrita pode tornar-se um espaço de memória, testemunho, reparação simbólica e cura, convidando a problematizar os desafios éticos, estéticos e políticos que acompanham as representações literárias de distintas manifestações da violência de género — desde a escravatura sexual das chamadas “mulheres de conforto” até à violação como arma de guerra e aos </w:t>
      </w:r>
      <w:proofErr w:type="spellStart"/>
      <w:r w:rsidRPr="001C1CE4">
        <w:rPr>
          <w:rFonts w:ascii="Garamond" w:hAnsi="Garamond"/>
          <w:lang w:val="pt-PT"/>
        </w:rPr>
        <w:t>feminicídios</w:t>
      </w:r>
      <w:proofErr w:type="spellEnd"/>
      <w:r w:rsidRPr="001C1CE4">
        <w:rPr>
          <w:rFonts w:ascii="Garamond" w:hAnsi="Garamond"/>
          <w:lang w:val="pt-PT"/>
        </w:rPr>
        <w:t xml:space="preserve"> contemporâneos. Entre os numerosos exemplos possíveis, podem mencionar-se, no âmbito ibérico, os casos de </w:t>
      </w:r>
      <w:proofErr w:type="spellStart"/>
      <w:r w:rsidRPr="001C1CE4">
        <w:rPr>
          <w:rFonts w:ascii="Garamond" w:hAnsi="Garamond"/>
          <w:lang w:val="pt-PT"/>
        </w:rPr>
        <w:t>Itziar</w:t>
      </w:r>
      <w:proofErr w:type="spellEnd"/>
      <w:r w:rsidRPr="001C1CE4">
        <w:rPr>
          <w:rFonts w:ascii="Garamond" w:hAnsi="Garamond"/>
          <w:lang w:val="pt-PT"/>
        </w:rPr>
        <w:t xml:space="preserve"> Ziga (</w:t>
      </w:r>
      <w:r w:rsidRPr="001C1CE4">
        <w:rPr>
          <w:rStyle w:val="Enfasicorsivo"/>
          <w:rFonts w:ascii="Garamond" w:eastAsiaTheme="majorEastAsia" w:hAnsi="Garamond"/>
          <w:lang w:val="pt-PT"/>
        </w:rPr>
        <w:t>La feliz y violenta vida de Maribel Ziga</w:t>
      </w:r>
      <w:r w:rsidRPr="001C1CE4">
        <w:rPr>
          <w:rFonts w:ascii="Garamond" w:hAnsi="Garamond"/>
          <w:lang w:val="pt-PT"/>
        </w:rPr>
        <w:t xml:space="preserve">), Marta </w:t>
      </w:r>
      <w:proofErr w:type="spellStart"/>
      <w:r w:rsidRPr="001C1CE4">
        <w:rPr>
          <w:rFonts w:ascii="Garamond" w:hAnsi="Garamond"/>
          <w:lang w:val="pt-PT"/>
        </w:rPr>
        <w:t>González</w:t>
      </w:r>
      <w:proofErr w:type="spellEnd"/>
      <w:r w:rsidRPr="001C1CE4">
        <w:rPr>
          <w:rFonts w:ascii="Garamond" w:hAnsi="Garamond"/>
          <w:lang w:val="pt-PT"/>
        </w:rPr>
        <w:t xml:space="preserve"> Novo (</w:t>
      </w:r>
      <w:r w:rsidRPr="001C1CE4">
        <w:rPr>
          <w:rStyle w:val="Enfasicorsivo"/>
          <w:rFonts w:ascii="Garamond" w:eastAsiaTheme="majorEastAsia" w:hAnsi="Garamond"/>
          <w:lang w:val="pt-PT"/>
        </w:rPr>
        <w:t xml:space="preserve">Una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bañera</w:t>
      </w:r>
      <w:proofErr w:type="spellEnd"/>
      <w:r w:rsidRPr="001C1CE4">
        <w:rPr>
          <w:rStyle w:val="Enfasicorsivo"/>
          <w:rFonts w:ascii="Garamond" w:eastAsiaTheme="majorEastAsia" w:hAnsi="Garamond"/>
          <w:lang w:val="pt-PT"/>
        </w:rPr>
        <w:t xml:space="preserve"> de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hojas</w:t>
      </w:r>
      <w:proofErr w:type="spellEnd"/>
      <w:r w:rsidRPr="001C1CE4">
        <w:rPr>
          <w:rStyle w:val="Enfasicorsivo"/>
          <w:rFonts w:ascii="Garamond" w:eastAsiaTheme="majorEastAsia" w:hAnsi="Garamond"/>
          <w:lang w:val="pt-PT"/>
        </w:rPr>
        <w:t xml:space="preserve"> secas</w:t>
      </w:r>
      <w:r w:rsidRPr="001C1CE4">
        <w:rPr>
          <w:rFonts w:ascii="Garamond" w:hAnsi="Garamond"/>
          <w:lang w:val="pt-PT"/>
        </w:rPr>
        <w:t>) e Lídia Jorge (</w:t>
      </w:r>
      <w:r w:rsidRPr="001C1CE4">
        <w:rPr>
          <w:rStyle w:val="Enfasicorsivo"/>
          <w:rFonts w:ascii="Garamond" w:eastAsiaTheme="majorEastAsia" w:hAnsi="Garamond"/>
          <w:lang w:val="pt-PT"/>
        </w:rPr>
        <w:t>Marido e outros contos</w:t>
      </w:r>
      <w:r w:rsidRPr="001C1CE4">
        <w:rPr>
          <w:rFonts w:ascii="Garamond" w:hAnsi="Garamond"/>
          <w:lang w:val="pt-PT"/>
        </w:rPr>
        <w:t xml:space="preserve">); no âmbito anglófono, autoras como </w:t>
      </w:r>
      <w:proofErr w:type="spellStart"/>
      <w:r w:rsidRPr="001C1CE4">
        <w:rPr>
          <w:rFonts w:ascii="Garamond" w:hAnsi="Garamond"/>
          <w:lang w:val="pt-PT"/>
        </w:rPr>
        <w:t>Caryl</w:t>
      </w:r>
      <w:proofErr w:type="spellEnd"/>
      <w:r w:rsidRPr="001C1CE4">
        <w:rPr>
          <w:rFonts w:ascii="Garamond" w:hAnsi="Garamond"/>
          <w:lang w:val="pt-PT"/>
        </w:rPr>
        <w:t xml:space="preserve"> Churchill, </w:t>
      </w:r>
      <w:proofErr w:type="spellStart"/>
      <w:r w:rsidRPr="001C1CE4">
        <w:rPr>
          <w:rFonts w:ascii="Garamond" w:hAnsi="Garamond"/>
          <w:lang w:val="pt-PT"/>
        </w:rPr>
        <w:t>Debbie</w:t>
      </w:r>
      <w:proofErr w:type="spellEnd"/>
      <w:r w:rsidRPr="001C1CE4">
        <w:rPr>
          <w:rFonts w:ascii="Garamond" w:hAnsi="Garamond"/>
          <w:lang w:val="pt-PT"/>
        </w:rPr>
        <w:t xml:space="preserve"> </w:t>
      </w:r>
      <w:proofErr w:type="spellStart"/>
      <w:r w:rsidRPr="001C1CE4">
        <w:rPr>
          <w:rFonts w:ascii="Garamond" w:hAnsi="Garamond"/>
          <w:lang w:val="pt-PT"/>
        </w:rPr>
        <w:t>Tucker</w:t>
      </w:r>
      <w:proofErr w:type="spellEnd"/>
      <w:r w:rsidRPr="001C1CE4">
        <w:rPr>
          <w:rFonts w:ascii="Garamond" w:hAnsi="Garamond"/>
          <w:lang w:val="pt-PT"/>
        </w:rPr>
        <w:t xml:space="preserve"> Green, Candice </w:t>
      </w:r>
      <w:proofErr w:type="spellStart"/>
      <w:r w:rsidRPr="001C1CE4">
        <w:rPr>
          <w:rFonts w:ascii="Garamond" w:hAnsi="Garamond"/>
          <w:lang w:val="pt-PT"/>
        </w:rPr>
        <w:t>Carty</w:t>
      </w:r>
      <w:proofErr w:type="spellEnd"/>
      <w:r w:rsidRPr="001C1CE4">
        <w:rPr>
          <w:rFonts w:ascii="Garamond" w:hAnsi="Garamond"/>
          <w:lang w:val="pt-PT"/>
        </w:rPr>
        <w:t xml:space="preserve">-Williams e </w:t>
      </w:r>
      <w:proofErr w:type="spellStart"/>
      <w:r w:rsidRPr="001C1CE4">
        <w:rPr>
          <w:rFonts w:ascii="Garamond" w:hAnsi="Garamond"/>
          <w:lang w:val="pt-PT"/>
        </w:rPr>
        <w:t>Warsan</w:t>
      </w:r>
      <w:proofErr w:type="spellEnd"/>
      <w:r w:rsidRPr="001C1CE4">
        <w:rPr>
          <w:rFonts w:ascii="Garamond" w:hAnsi="Garamond"/>
          <w:lang w:val="pt-PT"/>
        </w:rPr>
        <w:t xml:space="preserve"> </w:t>
      </w:r>
      <w:proofErr w:type="spellStart"/>
      <w:r w:rsidRPr="001C1CE4">
        <w:rPr>
          <w:rFonts w:ascii="Garamond" w:hAnsi="Garamond"/>
          <w:lang w:val="pt-PT"/>
        </w:rPr>
        <w:t>Shire</w:t>
      </w:r>
      <w:proofErr w:type="spellEnd"/>
      <w:r w:rsidRPr="001C1CE4">
        <w:rPr>
          <w:rFonts w:ascii="Garamond" w:hAnsi="Garamond"/>
          <w:lang w:val="pt-PT"/>
        </w:rPr>
        <w:t xml:space="preserve">; no contexto francês, obras como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Mémoire</w:t>
      </w:r>
      <w:proofErr w:type="spellEnd"/>
      <w:r w:rsidRPr="001C1CE4">
        <w:rPr>
          <w:rStyle w:val="Enfasicorsivo"/>
          <w:rFonts w:ascii="Garamond" w:eastAsiaTheme="majorEastAsia" w:hAnsi="Garamond"/>
          <w:lang w:val="pt-PT"/>
        </w:rPr>
        <w:t xml:space="preserve"> de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fille</w:t>
      </w:r>
      <w:proofErr w:type="spellEnd"/>
      <w:r w:rsidRPr="001C1CE4">
        <w:rPr>
          <w:rFonts w:ascii="Garamond" w:hAnsi="Garamond"/>
          <w:lang w:val="pt-PT"/>
        </w:rPr>
        <w:t xml:space="preserve"> de </w:t>
      </w:r>
      <w:proofErr w:type="spellStart"/>
      <w:r w:rsidRPr="001C1CE4">
        <w:rPr>
          <w:rFonts w:ascii="Garamond" w:hAnsi="Garamond"/>
          <w:lang w:val="pt-PT"/>
        </w:rPr>
        <w:t>Annie</w:t>
      </w:r>
      <w:proofErr w:type="spellEnd"/>
      <w:r w:rsidRPr="001C1CE4">
        <w:rPr>
          <w:rFonts w:ascii="Garamond" w:hAnsi="Garamond"/>
          <w:lang w:val="pt-PT"/>
        </w:rPr>
        <w:t xml:space="preserve"> </w:t>
      </w:r>
      <w:proofErr w:type="spellStart"/>
      <w:r w:rsidRPr="001C1CE4">
        <w:rPr>
          <w:rFonts w:ascii="Garamond" w:hAnsi="Garamond"/>
          <w:lang w:val="pt-PT"/>
        </w:rPr>
        <w:t>Ernaux</w:t>
      </w:r>
      <w:proofErr w:type="spellEnd"/>
      <w:r w:rsidRPr="001C1CE4">
        <w:rPr>
          <w:rFonts w:ascii="Garamond" w:hAnsi="Garamond"/>
          <w:lang w:val="pt-PT"/>
        </w:rPr>
        <w:t xml:space="preserve">,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Le</w:t>
      </w:r>
      <w:proofErr w:type="spellEnd"/>
      <w:r w:rsidRPr="001C1CE4">
        <w:rPr>
          <w:rStyle w:val="Enfasicorsivo"/>
          <w:rFonts w:ascii="Garamond" w:eastAsiaTheme="majorEastAsia" w:hAnsi="Garamond"/>
          <w:lang w:val="pt-PT"/>
        </w:rPr>
        <w:t xml:space="preserve">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Consentement</w:t>
      </w:r>
      <w:proofErr w:type="spellEnd"/>
      <w:r w:rsidRPr="001C1CE4">
        <w:rPr>
          <w:rFonts w:ascii="Garamond" w:hAnsi="Garamond"/>
          <w:lang w:val="pt-PT"/>
        </w:rPr>
        <w:t xml:space="preserve"> de Vanessa </w:t>
      </w:r>
      <w:proofErr w:type="spellStart"/>
      <w:r w:rsidRPr="001C1CE4">
        <w:rPr>
          <w:rFonts w:ascii="Garamond" w:hAnsi="Garamond"/>
          <w:lang w:val="pt-PT"/>
        </w:rPr>
        <w:t>Springora</w:t>
      </w:r>
      <w:proofErr w:type="spellEnd"/>
      <w:r w:rsidRPr="001C1CE4">
        <w:rPr>
          <w:rFonts w:ascii="Garamond" w:hAnsi="Garamond"/>
          <w:lang w:val="pt-PT"/>
        </w:rPr>
        <w:t xml:space="preserve">,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Laëtitia</w:t>
      </w:r>
      <w:proofErr w:type="spellEnd"/>
      <w:r w:rsidRPr="001C1CE4">
        <w:rPr>
          <w:rStyle w:val="Enfasicorsivo"/>
          <w:rFonts w:ascii="Garamond" w:eastAsiaTheme="majorEastAsia" w:hAnsi="Garamond"/>
          <w:lang w:val="pt-PT"/>
        </w:rPr>
        <w:t xml:space="preserve"> ou la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fin</w:t>
      </w:r>
      <w:proofErr w:type="spellEnd"/>
      <w:r w:rsidRPr="001C1CE4">
        <w:rPr>
          <w:rStyle w:val="Enfasicorsivo"/>
          <w:rFonts w:ascii="Garamond" w:eastAsiaTheme="majorEastAsia" w:hAnsi="Garamond"/>
          <w:lang w:val="pt-PT"/>
        </w:rPr>
        <w:t xml:space="preserve">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des</w:t>
      </w:r>
      <w:proofErr w:type="spellEnd"/>
      <w:r w:rsidRPr="001C1CE4">
        <w:rPr>
          <w:rStyle w:val="Enfasicorsivo"/>
          <w:rFonts w:ascii="Garamond" w:eastAsiaTheme="majorEastAsia" w:hAnsi="Garamond"/>
          <w:lang w:val="pt-PT"/>
        </w:rPr>
        <w:t xml:space="preserve">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hommes</w:t>
      </w:r>
      <w:proofErr w:type="spellEnd"/>
      <w:r w:rsidRPr="001C1CE4">
        <w:rPr>
          <w:rFonts w:ascii="Garamond" w:hAnsi="Garamond"/>
          <w:lang w:val="pt-PT"/>
        </w:rPr>
        <w:t xml:space="preserve"> de Ivan </w:t>
      </w:r>
      <w:proofErr w:type="spellStart"/>
      <w:r w:rsidRPr="001C1CE4">
        <w:rPr>
          <w:rFonts w:ascii="Garamond" w:hAnsi="Garamond"/>
          <w:lang w:val="pt-PT"/>
        </w:rPr>
        <w:t>Jablonka</w:t>
      </w:r>
      <w:proofErr w:type="spellEnd"/>
      <w:r w:rsidRPr="001C1CE4">
        <w:rPr>
          <w:rFonts w:ascii="Garamond" w:hAnsi="Garamond"/>
          <w:lang w:val="pt-PT"/>
        </w:rPr>
        <w:t xml:space="preserve"> e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Phallers</w:t>
      </w:r>
      <w:proofErr w:type="spellEnd"/>
      <w:r w:rsidRPr="001C1CE4">
        <w:rPr>
          <w:rFonts w:ascii="Garamond" w:hAnsi="Garamond"/>
          <w:lang w:val="pt-PT"/>
        </w:rPr>
        <w:t xml:space="preserve"> de </w:t>
      </w:r>
      <w:proofErr w:type="spellStart"/>
      <w:r w:rsidRPr="001C1CE4">
        <w:rPr>
          <w:rFonts w:ascii="Garamond" w:hAnsi="Garamond"/>
          <w:lang w:val="pt-PT"/>
        </w:rPr>
        <w:t>Chloé</w:t>
      </w:r>
      <w:proofErr w:type="spellEnd"/>
      <w:r w:rsidRPr="001C1CE4">
        <w:rPr>
          <w:rFonts w:ascii="Garamond" w:hAnsi="Garamond"/>
          <w:lang w:val="pt-PT"/>
        </w:rPr>
        <w:t xml:space="preserve"> </w:t>
      </w:r>
      <w:proofErr w:type="spellStart"/>
      <w:r w:rsidRPr="001C1CE4">
        <w:rPr>
          <w:rFonts w:ascii="Garamond" w:hAnsi="Garamond"/>
          <w:lang w:val="pt-PT"/>
        </w:rPr>
        <w:t>Delaume</w:t>
      </w:r>
      <w:proofErr w:type="spellEnd"/>
      <w:r w:rsidRPr="001C1CE4">
        <w:rPr>
          <w:rFonts w:ascii="Garamond" w:hAnsi="Garamond"/>
          <w:lang w:val="pt-PT"/>
        </w:rPr>
        <w:t xml:space="preserve">; no âmbito alemão, os romances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Scherbenpark</w:t>
      </w:r>
      <w:proofErr w:type="spellEnd"/>
      <w:r w:rsidRPr="001C1CE4">
        <w:rPr>
          <w:rFonts w:ascii="Garamond" w:hAnsi="Garamond"/>
          <w:lang w:val="pt-PT"/>
        </w:rPr>
        <w:t xml:space="preserve"> </w:t>
      </w:r>
      <w:r w:rsidRPr="001C1CE4">
        <w:rPr>
          <w:rFonts w:ascii="Garamond" w:hAnsi="Garamond"/>
          <w:lang w:val="pt-PT"/>
        </w:rPr>
        <w:lastRenderedPageBreak/>
        <w:t xml:space="preserve">de Alina </w:t>
      </w:r>
      <w:proofErr w:type="spellStart"/>
      <w:r w:rsidRPr="001C1CE4">
        <w:rPr>
          <w:rFonts w:ascii="Garamond" w:hAnsi="Garamond"/>
          <w:lang w:val="pt-PT"/>
        </w:rPr>
        <w:t>Bronsky</w:t>
      </w:r>
      <w:proofErr w:type="spellEnd"/>
      <w:r w:rsidRPr="001C1CE4">
        <w:rPr>
          <w:rFonts w:ascii="Garamond" w:hAnsi="Garamond"/>
          <w:lang w:val="pt-PT"/>
        </w:rPr>
        <w:t xml:space="preserve">, </w:t>
      </w:r>
      <w:r w:rsidRPr="001C1CE4">
        <w:rPr>
          <w:rStyle w:val="Enfasicorsivo"/>
          <w:rFonts w:ascii="Garamond" w:eastAsiaTheme="majorEastAsia" w:hAnsi="Garamond"/>
          <w:lang w:val="pt-PT"/>
        </w:rPr>
        <w:t xml:space="preserve">Das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Mädchen</w:t>
      </w:r>
      <w:proofErr w:type="spellEnd"/>
      <w:r w:rsidRPr="001C1CE4">
        <w:rPr>
          <w:rFonts w:ascii="Garamond" w:hAnsi="Garamond"/>
          <w:lang w:val="pt-PT"/>
        </w:rPr>
        <w:t xml:space="preserve"> de </w:t>
      </w:r>
      <w:proofErr w:type="spellStart"/>
      <w:r w:rsidRPr="001C1CE4">
        <w:rPr>
          <w:rFonts w:ascii="Garamond" w:hAnsi="Garamond"/>
          <w:lang w:val="pt-PT"/>
        </w:rPr>
        <w:t>Angelika</w:t>
      </w:r>
      <w:proofErr w:type="spellEnd"/>
      <w:r w:rsidRPr="001C1CE4">
        <w:rPr>
          <w:rFonts w:ascii="Garamond" w:hAnsi="Garamond"/>
          <w:lang w:val="pt-PT"/>
        </w:rPr>
        <w:t xml:space="preserve"> </w:t>
      </w:r>
      <w:proofErr w:type="spellStart"/>
      <w:r w:rsidRPr="001C1CE4">
        <w:rPr>
          <w:rFonts w:ascii="Garamond" w:hAnsi="Garamond"/>
          <w:lang w:val="pt-PT"/>
        </w:rPr>
        <w:t>Klüssendorf</w:t>
      </w:r>
      <w:proofErr w:type="spellEnd"/>
      <w:r w:rsidRPr="001C1CE4">
        <w:rPr>
          <w:rFonts w:ascii="Garamond" w:hAnsi="Garamond"/>
          <w:lang w:val="pt-PT"/>
        </w:rPr>
        <w:t xml:space="preserve">, bem como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Sehr</w:t>
      </w:r>
      <w:proofErr w:type="spellEnd"/>
      <w:r w:rsidRPr="001C1CE4">
        <w:rPr>
          <w:rStyle w:val="Enfasicorsivo"/>
          <w:rFonts w:ascii="Garamond" w:eastAsiaTheme="majorEastAsia" w:hAnsi="Garamond"/>
          <w:lang w:val="pt-PT"/>
        </w:rPr>
        <w:t xml:space="preserve">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geehrte</w:t>
      </w:r>
      <w:proofErr w:type="spellEnd"/>
      <w:r w:rsidRPr="001C1CE4">
        <w:rPr>
          <w:rStyle w:val="Enfasicorsivo"/>
          <w:rFonts w:ascii="Garamond" w:eastAsiaTheme="majorEastAsia" w:hAnsi="Garamond"/>
          <w:lang w:val="pt-PT"/>
        </w:rPr>
        <w:t xml:space="preserve">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Frau</w:t>
      </w:r>
      <w:proofErr w:type="spellEnd"/>
      <w:r w:rsidRPr="001C1CE4">
        <w:rPr>
          <w:rStyle w:val="Enfasicorsivo"/>
          <w:rFonts w:ascii="Garamond" w:eastAsiaTheme="majorEastAsia" w:hAnsi="Garamond"/>
          <w:lang w:val="pt-PT"/>
        </w:rPr>
        <w:t xml:space="preserve">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Ministerin</w:t>
      </w:r>
      <w:proofErr w:type="spellEnd"/>
      <w:r w:rsidRPr="001C1CE4">
        <w:rPr>
          <w:rFonts w:ascii="Garamond" w:hAnsi="Garamond"/>
          <w:lang w:val="pt-PT"/>
        </w:rPr>
        <w:t xml:space="preserve"> de </w:t>
      </w:r>
      <w:proofErr w:type="spellStart"/>
      <w:r w:rsidRPr="001C1CE4">
        <w:rPr>
          <w:rFonts w:ascii="Garamond" w:hAnsi="Garamond"/>
          <w:lang w:val="pt-PT"/>
        </w:rPr>
        <w:t>Ursula</w:t>
      </w:r>
      <w:proofErr w:type="spellEnd"/>
      <w:r w:rsidRPr="001C1CE4">
        <w:rPr>
          <w:rFonts w:ascii="Garamond" w:hAnsi="Garamond"/>
          <w:lang w:val="pt-PT"/>
        </w:rPr>
        <w:t xml:space="preserve"> </w:t>
      </w:r>
      <w:proofErr w:type="spellStart"/>
      <w:r w:rsidRPr="001C1CE4">
        <w:rPr>
          <w:rFonts w:ascii="Garamond" w:hAnsi="Garamond"/>
          <w:lang w:val="pt-PT"/>
        </w:rPr>
        <w:t>Krechel</w:t>
      </w:r>
      <w:proofErr w:type="spellEnd"/>
      <w:r w:rsidRPr="001C1CE4">
        <w:rPr>
          <w:rFonts w:ascii="Garamond" w:hAnsi="Garamond"/>
          <w:lang w:val="pt-PT"/>
        </w:rPr>
        <w:t xml:space="preserve"> e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Lügen</w:t>
      </w:r>
      <w:proofErr w:type="spellEnd"/>
      <w:r w:rsidRPr="001C1CE4">
        <w:rPr>
          <w:rStyle w:val="Enfasicorsivo"/>
          <w:rFonts w:ascii="Garamond" w:eastAsiaTheme="majorEastAsia" w:hAnsi="Garamond"/>
          <w:lang w:val="pt-PT"/>
        </w:rPr>
        <w:t xml:space="preserve">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über</w:t>
      </w:r>
      <w:proofErr w:type="spellEnd"/>
      <w:r w:rsidRPr="001C1CE4">
        <w:rPr>
          <w:rStyle w:val="Enfasicorsivo"/>
          <w:rFonts w:ascii="Garamond" w:eastAsiaTheme="majorEastAsia" w:hAnsi="Garamond"/>
          <w:lang w:val="pt-PT"/>
        </w:rPr>
        <w:t xml:space="preserve">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meine</w:t>
      </w:r>
      <w:proofErr w:type="spellEnd"/>
      <w:r w:rsidRPr="001C1CE4">
        <w:rPr>
          <w:rStyle w:val="Enfasicorsivo"/>
          <w:rFonts w:ascii="Garamond" w:eastAsiaTheme="majorEastAsia" w:hAnsi="Garamond"/>
          <w:lang w:val="pt-PT"/>
        </w:rPr>
        <w:t xml:space="preserve">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Mutter</w:t>
      </w:r>
      <w:proofErr w:type="spellEnd"/>
      <w:r w:rsidRPr="001C1CE4">
        <w:rPr>
          <w:rFonts w:ascii="Garamond" w:hAnsi="Garamond"/>
          <w:lang w:val="pt-PT"/>
        </w:rPr>
        <w:t xml:space="preserve"> de Daniela </w:t>
      </w:r>
      <w:proofErr w:type="spellStart"/>
      <w:r w:rsidRPr="001C1CE4">
        <w:rPr>
          <w:rFonts w:ascii="Garamond" w:hAnsi="Garamond"/>
          <w:lang w:val="pt-PT"/>
        </w:rPr>
        <w:t>Dröscher</w:t>
      </w:r>
      <w:proofErr w:type="spellEnd"/>
      <w:r w:rsidRPr="001C1CE4">
        <w:rPr>
          <w:rFonts w:ascii="Garamond" w:hAnsi="Garamond"/>
          <w:lang w:val="pt-PT"/>
        </w:rPr>
        <w:t>.</w:t>
      </w:r>
    </w:p>
    <w:p w14:paraId="63A458DC" w14:textId="129B2300" w:rsidR="001C1CE4" w:rsidRPr="001C1CE4" w:rsidRDefault="001C1CE4" w:rsidP="001C1CE4">
      <w:pPr>
        <w:pStyle w:val="NormaleWeb"/>
        <w:jc w:val="both"/>
        <w:rPr>
          <w:rFonts w:ascii="Garamond" w:hAnsi="Garamond"/>
          <w:lang w:val="pt-PT"/>
        </w:rPr>
      </w:pPr>
      <w:r w:rsidRPr="001C1CE4">
        <w:rPr>
          <w:rFonts w:ascii="Garamond" w:hAnsi="Garamond"/>
          <w:lang w:val="pt-PT"/>
        </w:rPr>
        <w:t xml:space="preserve">No que respeita às literaturas finlandesas e escandinavas, remetemos para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Puhdistus</w:t>
      </w:r>
      <w:proofErr w:type="spellEnd"/>
      <w:r w:rsidRPr="001C1CE4">
        <w:rPr>
          <w:rFonts w:ascii="Garamond" w:hAnsi="Garamond"/>
          <w:lang w:val="pt-PT"/>
        </w:rPr>
        <w:t xml:space="preserve"> de </w:t>
      </w:r>
      <w:proofErr w:type="spellStart"/>
      <w:r w:rsidRPr="001C1CE4">
        <w:rPr>
          <w:rFonts w:ascii="Garamond" w:hAnsi="Garamond"/>
          <w:lang w:val="pt-PT"/>
        </w:rPr>
        <w:t>Sofi</w:t>
      </w:r>
      <w:proofErr w:type="spellEnd"/>
      <w:r w:rsidRPr="001C1CE4">
        <w:rPr>
          <w:rFonts w:ascii="Garamond" w:hAnsi="Garamond"/>
          <w:lang w:val="pt-PT"/>
        </w:rPr>
        <w:t xml:space="preserve"> </w:t>
      </w:r>
      <w:proofErr w:type="spellStart"/>
      <w:r w:rsidRPr="001C1CE4">
        <w:rPr>
          <w:rFonts w:ascii="Garamond" w:hAnsi="Garamond"/>
          <w:lang w:val="pt-PT"/>
        </w:rPr>
        <w:t>Oksanen</w:t>
      </w:r>
      <w:proofErr w:type="spellEnd"/>
      <w:r w:rsidRPr="001C1CE4">
        <w:rPr>
          <w:rFonts w:ascii="Garamond" w:hAnsi="Garamond"/>
          <w:lang w:val="pt-PT"/>
        </w:rPr>
        <w:t xml:space="preserve">,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Kätilö</w:t>
      </w:r>
      <w:proofErr w:type="spellEnd"/>
      <w:r w:rsidRPr="001C1CE4">
        <w:rPr>
          <w:rFonts w:ascii="Garamond" w:hAnsi="Garamond"/>
          <w:lang w:val="pt-PT"/>
        </w:rPr>
        <w:t xml:space="preserve"> de </w:t>
      </w:r>
      <w:proofErr w:type="spellStart"/>
      <w:r w:rsidRPr="001C1CE4">
        <w:rPr>
          <w:rFonts w:ascii="Garamond" w:hAnsi="Garamond"/>
          <w:lang w:val="pt-PT"/>
        </w:rPr>
        <w:t>Katja</w:t>
      </w:r>
      <w:proofErr w:type="spellEnd"/>
      <w:r w:rsidRPr="001C1CE4">
        <w:rPr>
          <w:rFonts w:ascii="Garamond" w:hAnsi="Garamond"/>
          <w:lang w:val="pt-PT"/>
        </w:rPr>
        <w:t xml:space="preserve"> </w:t>
      </w:r>
      <w:proofErr w:type="spellStart"/>
      <w:r w:rsidRPr="001C1CE4">
        <w:rPr>
          <w:rFonts w:ascii="Garamond" w:hAnsi="Garamond"/>
          <w:lang w:val="pt-PT"/>
        </w:rPr>
        <w:t>Kettu</w:t>
      </w:r>
      <w:proofErr w:type="spellEnd"/>
      <w:r w:rsidRPr="001C1CE4">
        <w:rPr>
          <w:rFonts w:ascii="Garamond" w:hAnsi="Garamond"/>
          <w:lang w:val="pt-PT"/>
        </w:rPr>
        <w:t xml:space="preserve">, para as obras de </w:t>
      </w:r>
      <w:proofErr w:type="spellStart"/>
      <w:r w:rsidRPr="001C1CE4">
        <w:rPr>
          <w:rFonts w:ascii="Garamond" w:hAnsi="Garamond"/>
          <w:lang w:val="pt-PT"/>
        </w:rPr>
        <w:t>Susanna</w:t>
      </w:r>
      <w:proofErr w:type="spellEnd"/>
      <w:r w:rsidRPr="001C1CE4">
        <w:rPr>
          <w:rFonts w:ascii="Garamond" w:hAnsi="Garamond"/>
          <w:lang w:val="pt-PT"/>
        </w:rPr>
        <w:t xml:space="preserve"> </w:t>
      </w:r>
      <w:proofErr w:type="spellStart"/>
      <w:r w:rsidRPr="001C1CE4">
        <w:rPr>
          <w:rFonts w:ascii="Garamond" w:hAnsi="Garamond"/>
          <w:lang w:val="pt-PT"/>
        </w:rPr>
        <w:t>Hast</w:t>
      </w:r>
      <w:proofErr w:type="spellEnd"/>
      <w:r w:rsidRPr="001C1CE4">
        <w:rPr>
          <w:rFonts w:ascii="Garamond" w:hAnsi="Garamond"/>
          <w:lang w:val="pt-PT"/>
        </w:rPr>
        <w:t xml:space="preserve"> e </w:t>
      </w:r>
      <w:proofErr w:type="spellStart"/>
      <w:r w:rsidRPr="001C1CE4">
        <w:rPr>
          <w:rFonts w:ascii="Garamond" w:hAnsi="Garamond"/>
          <w:lang w:val="pt-PT"/>
        </w:rPr>
        <w:t>Iida</w:t>
      </w:r>
      <w:proofErr w:type="spellEnd"/>
      <w:r w:rsidRPr="001C1CE4">
        <w:rPr>
          <w:rFonts w:ascii="Garamond" w:hAnsi="Garamond"/>
          <w:lang w:val="pt-PT"/>
        </w:rPr>
        <w:t xml:space="preserve"> </w:t>
      </w:r>
      <w:proofErr w:type="spellStart"/>
      <w:r w:rsidRPr="001C1CE4">
        <w:rPr>
          <w:rFonts w:ascii="Garamond" w:hAnsi="Garamond"/>
          <w:lang w:val="pt-PT"/>
        </w:rPr>
        <w:t>Rauma</w:t>
      </w:r>
      <w:proofErr w:type="spellEnd"/>
      <w:r w:rsidRPr="001C1CE4">
        <w:rPr>
          <w:rFonts w:ascii="Garamond" w:hAnsi="Garamond"/>
          <w:lang w:val="pt-PT"/>
        </w:rPr>
        <w:t xml:space="preserve">, bem como para as de Lena </w:t>
      </w:r>
      <w:proofErr w:type="spellStart"/>
      <w:r w:rsidRPr="001C1CE4">
        <w:rPr>
          <w:rFonts w:ascii="Garamond" w:hAnsi="Garamond"/>
          <w:lang w:val="pt-PT"/>
        </w:rPr>
        <w:t>Andersson</w:t>
      </w:r>
      <w:proofErr w:type="spellEnd"/>
      <w:r w:rsidRPr="001C1CE4">
        <w:rPr>
          <w:rFonts w:ascii="Garamond" w:hAnsi="Garamond"/>
          <w:lang w:val="pt-PT"/>
        </w:rPr>
        <w:t xml:space="preserve">, </w:t>
      </w:r>
      <w:proofErr w:type="spellStart"/>
      <w:r w:rsidRPr="001C1CE4">
        <w:rPr>
          <w:rFonts w:ascii="Garamond" w:hAnsi="Garamond"/>
          <w:lang w:val="pt-PT"/>
        </w:rPr>
        <w:t>Monika</w:t>
      </w:r>
      <w:proofErr w:type="spellEnd"/>
      <w:r w:rsidRPr="001C1CE4">
        <w:rPr>
          <w:rFonts w:ascii="Garamond" w:hAnsi="Garamond"/>
          <w:lang w:val="pt-PT"/>
        </w:rPr>
        <w:t xml:space="preserve"> </w:t>
      </w:r>
      <w:proofErr w:type="spellStart"/>
      <w:r w:rsidRPr="001C1CE4">
        <w:rPr>
          <w:rFonts w:ascii="Garamond" w:hAnsi="Garamond"/>
          <w:lang w:val="pt-PT"/>
        </w:rPr>
        <w:t>Fagerholm</w:t>
      </w:r>
      <w:proofErr w:type="spellEnd"/>
      <w:r w:rsidRPr="001C1CE4">
        <w:rPr>
          <w:rFonts w:ascii="Garamond" w:hAnsi="Garamond"/>
          <w:lang w:val="pt-PT"/>
        </w:rPr>
        <w:t xml:space="preserve">, </w:t>
      </w:r>
      <w:proofErr w:type="spellStart"/>
      <w:r w:rsidRPr="001C1CE4">
        <w:rPr>
          <w:rFonts w:ascii="Garamond" w:hAnsi="Garamond"/>
          <w:lang w:val="pt-PT"/>
        </w:rPr>
        <w:t>Hanne</w:t>
      </w:r>
      <w:proofErr w:type="spellEnd"/>
      <w:r w:rsidRPr="001C1CE4">
        <w:rPr>
          <w:rFonts w:ascii="Garamond" w:hAnsi="Garamond"/>
          <w:lang w:val="pt-PT"/>
        </w:rPr>
        <w:t xml:space="preserve"> </w:t>
      </w:r>
      <w:proofErr w:type="spellStart"/>
      <w:r w:rsidRPr="001C1CE4">
        <w:rPr>
          <w:rFonts w:ascii="Garamond" w:hAnsi="Garamond"/>
          <w:lang w:val="pt-PT"/>
        </w:rPr>
        <w:t>Ørstavik</w:t>
      </w:r>
      <w:proofErr w:type="spellEnd"/>
      <w:r w:rsidRPr="001C1CE4">
        <w:rPr>
          <w:rFonts w:ascii="Garamond" w:hAnsi="Garamond"/>
          <w:lang w:val="pt-PT"/>
        </w:rPr>
        <w:t xml:space="preserve">, </w:t>
      </w:r>
      <w:proofErr w:type="spellStart"/>
      <w:r w:rsidRPr="001C1CE4">
        <w:rPr>
          <w:rFonts w:ascii="Garamond" w:hAnsi="Garamond"/>
          <w:lang w:val="pt-PT"/>
        </w:rPr>
        <w:t>Aase</w:t>
      </w:r>
      <w:proofErr w:type="spellEnd"/>
      <w:r w:rsidRPr="001C1CE4">
        <w:rPr>
          <w:rFonts w:ascii="Garamond" w:hAnsi="Garamond"/>
          <w:lang w:val="pt-PT"/>
        </w:rPr>
        <w:t xml:space="preserve"> Berg e Matilda </w:t>
      </w:r>
      <w:proofErr w:type="spellStart"/>
      <w:r w:rsidRPr="001C1CE4">
        <w:rPr>
          <w:rFonts w:ascii="Garamond" w:hAnsi="Garamond"/>
          <w:lang w:val="pt-PT"/>
        </w:rPr>
        <w:t>Södergran</w:t>
      </w:r>
      <w:proofErr w:type="spellEnd"/>
      <w:r w:rsidRPr="001C1CE4">
        <w:rPr>
          <w:rFonts w:ascii="Garamond" w:hAnsi="Garamond"/>
          <w:lang w:val="pt-PT"/>
        </w:rPr>
        <w:t xml:space="preserve">. Para as literaturas eslavas, consideram-se tanto a </w:t>
      </w:r>
      <w:proofErr w:type="spellStart"/>
      <w:r w:rsidRPr="001C1CE4">
        <w:rPr>
          <w:rFonts w:ascii="Garamond" w:hAnsi="Garamond"/>
          <w:lang w:val="pt-PT"/>
        </w:rPr>
        <w:t>fempoesia</w:t>
      </w:r>
      <w:proofErr w:type="spellEnd"/>
      <w:r w:rsidRPr="001C1CE4">
        <w:rPr>
          <w:rFonts w:ascii="Garamond" w:hAnsi="Garamond"/>
          <w:lang w:val="pt-PT"/>
        </w:rPr>
        <w:t xml:space="preserve"> (por exemplo, a antologia </w:t>
      </w:r>
      <w:r w:rsidR="00D85130" w:rsidRPr="00D85130">
        <w:rPr>
          <w:rStyle w:val="Enfasicorsivo"/>
          <w:rFonts w:ascii="Garamond" w:eastAsiaTheme="majorEastAsia" w:hAnsi="Garamond"/>
          <w:lang w:val="pt-PT"/>
        </w:rPr>
        <w:t xml:space="preserve">La mia vagina. Antologia </w:t>
      </w:r>
      <w:proofErr w:type="spellStart"/>
      <w:r w:rsidR="00D85130" w:rsidRPr="00D85130">
        <w:rPr>
          <w:rStyle w:val="Enfasicorsivo"/>
          <w:rFonts w:ascii="Garamond" w:eastAsiaTheme="majorEastAsia" w:hAnsi="Garamond"/>
          <w:lang w:val="pt-PT"/>
        </w:rPr>
        <w:t>di</w:t>
      </w:r>
      <w:proofErr w:type="spellEnd"/>
      <w:r w:rsidR="00D85130" w:rsidRPr="00D85130">
        <w:rPr>
          <w:rStyle w:val="Enfasicorsivo"/>
          <w:rFonts w:ascii="Garamond" w:eastAsiaTheme="majorEastAsia" w:hAnsi="Garamond"/>
          <w:lang w:val="pt-PT"/>
        </w:rPr>
        <w:t xml:space="preserve"> poesia </w:t>
      </w:r>
      <w:proofErr w:type="spellStart"/>
      <w:r w:rsidR="00D85130" w:rsidRPr="00D85130">
        <w:rPr>
          <w:rStyle w:val="Enfasicorsivo"/>
          <w:rFonts w:ascii="Garamond" w:eastAsiaTheme="majorEastAsia" w:hAnsi="Garamond"/>
          <w:lang w:val="pt-PT"/>
        </w:rPr>
        <w:t>femminista</w:t>
      </w:r>
      <w:proofErr w:type="spellEnd"/>
      <w:r w:rsidR="00D85130" w:rsidRPr="00D85130">
        <w:rPr>
          <w:rStyle w:val="Enfasicorsivo"/>
          <w:rFonts w:ascii="Garamond" w:eastAsiaTheme="majorEastAsia" w:hAnsi="Garamond"/>
          <w:lang w:val="pt-PT"/>
        </w:rPr>
        <w:t xml:space="preserve"> russa </w:t>
      </w:r>
      <w:proofErr w:type="spellStart"/>
      <w:r w:rsidR="00D85130" w:rsidRPr="00D85130">
        <w:rPr>
          <w:rStyle w:val="Enfasicorsivo"/>
          <w:rFonts w:ascii="Garamond" w:eastAsiaTheme="majorEastAsia" w:hAnsi="Garamond"/>
          <w:lang w:val="pt-PT"/>
        </w:rPr>
        <w:t>contemporanea</w:t>
      </w:r>
      <w:proofErr w:type="spellEnd"/>
      <w:r w:rsidRPr="00D85130">
        <w:rPr>
          <w:rFonts w:ascii="Garamond" w:hAnsi="Garamond"/>
          <w:lang w:val="pt-PT"/>
        </w:rPr>
        <w:t xml:space="preserve">, organizada por M. </w:t>
      </w:r>
      <w:proofErr w:type="spellStart"/>
      <w:r w:rsidRPr="00D85130">
        <w:rPr>
          <w:rFonts w:ascii="Garamond" w:hAnsi="Garamond"/>
          <w:lang w:val="pt-PT"/>
        </w:rPr>
        <w:t>Maurizio</w:t>
      </w:r>
      <w:proofErr w:type="spellEnd"/>
      <w:r w:rsidRPr="00D85130">
        <w:rPr>
          <w:rFonts w:ascii="Garamond" w:hAnsi="Garamond"/>
          <w:lang w:val="pt-PT"/>
        </w:rPr>
        <w:t>) como</w:t>
      </w:r>
      <w:r w:rsidRPr="001C1CE4">
        <w:rPr>
          <w:rFonts w:ascii="Garamond" w:hAnsi="Garamond"/>
          <w:lang w:val="pt-PT"/>
        </w:rPr>
        <w:t xml:space="preserve"> o volume de Victoria Amelina </w:t>
      </w:r>
      <w:r w:rsidRPr="006E3194">
        <w:rPr>
          <w:rFonts w:ascii="Garamond" w:hAnsi="Garamond"/>
          <w:lang w:val="pt-PT"/>
        </w:rPr>
        <w:t>(</w:t>
      </w:r>
      <w:r w:rsidR="006E3194" w:rsidRPr="006E3194">
        <w:rPr>
          <w:rFonts w:ascii="Garamond" w:hAnsi="Garamond"/>
          <w:i/>
          <w:iCs/>
          <w:lang w:val="pt-PT"/>
        </w:rPr>
        <w:t>Olhando para as Mulheres, Olhando para a Guerra</w:t>
      </w:r>
      <w:r w:rsidRPr="006E3194">
        <w:rPr>
          <w:rFonts w:ascii="Garamond" w:hAnsi="Garamond"/>
          <w:lang w:val="pt-PT"/>
        </w:rPr>
        <w:t>), além de</w:t>
      </w:r>
      <w:r w:rsidRPr="001C1CE4">
        <w:rPr>
          <w:rFonts w:ascii="Garamond" w:hAnsi="Garamond"/>
          <w:lang w:val="pt-PT"/>
        </w:rPr>
        <w:t xml:space="preserve">, no âmbito pós-jugoslavo, as obras de </w:t>
      </w:r>
      <w:proofErr w:type="spellStart"/>
      <w:r w:rsidRPr="001C1CE4">
        <w:rPr>
          <w:rFonts w:ascii="Garamond" w:hAnsi="Garamond"/>
          <w:lang w:val="pt-PT"/>
        </w:rPr>
        <w:t>Slavenka</w:t>
      </w:r>
      <w:proofErr w:type="spellEnd"/>
      <w:r w:rsidRPr="001C1CE4">
        <w:rPr>
          <w:rFonts w:ascii="Garamond" w:hAnsi="Garamond"/>
          <w:lang w:val="pt-PT"/>
        </w:rPr>
        <w:t xml:space="preserve"> </w:t>
      </w:r>
      <w:proofErr w:type="spellStart"/>
      <w:r w:rsidRPr="001C1CE4">
        <w:rPr>
          <w:rFonts w:ascii="Garamond" w:hAnsi="Garamond"/>
          <w:lang w:val="pt-PT"/>
        </w:rPr>
        <w:t>Drakulić</w:t>
      </w:r>
      <w:proofErr w:type="spellEnd"/>
      <w:r w:rsidRPr="001C1CE4">
        <w:rPr>
          <w:rFonts w:ascii="Garamond" w:hAnsi="Garamond"/>
          <w:lang w:val="pt-PT"/>
        </w:rPr>
        <w:t xml:space="preserve"> (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Kao</w:t>
      </w:r>
      <w:proofErr w:type="spellEnd"/>
      <w:r w:rsidRPr="001C1CE4">
        <w:rPr>
          <w:rStyle w:val="Enfasicorsivo"/>
          <w:rFonts w:ascii="Garamond" w:eastAsiaTheme="majorEastAsia" w:hAnsi="Garamond"/>
          <w:lang w:val="pt-PT"/>
        </w:rPr>
        <w:t xml:space="preserve"> da me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nema</w:t>
      </w:r>
      <w:proofErr w:type="spellEnd"/>
      <w:r w:rsidRPr="001C1CE4">
        <w:rPr>
          <w:rFonts w:ascii="Garamond" w:hAnsi="Garamond"/>
          <w:lang w:val="pt-PT"/>
        </w:rPr>
        <w:t xml:space="preserve">), </w:t>
      </w:r>
      <w:proofErr w:type="spellStart"/>
      <w:r w:rsidRPr="001C1CE4">
        <w:rPr>
          <w:rFonts w:ascii="Garamond" w:hAnsi="Garamond"/>
          <w:lang w:val="pt-PT"/>
        </w:rPr>
        <w:t>Stevo</w:t>
      </w:r>
      <w:proofErr w:type="spellEnd"/>
      <w:r w:rsidRPr="001C1CE4">
        <w:rPr>
          <w:rFonts w:ascii="Garamond" w:hAnsi="Garamond"/>
          <w:lang w:val="pt-PT"/>
        </w:rPr>
        <w:t xml:space="preserve"> </w:t>
      </w:r>
      <w:proofErr w:type="spellStart"/>
      <w:r w:rsidRPr="001C1CE4">
        <w:rPr>
          <w:rFonts w:ascii="Garamond" w:hAnsi="Garamond"/>
          <w:lang w:val="pt-PT"/>
        </w:rPr>
        <w:t>Grabovac</w:t>
      </w:r>
      <w:proofErr w:type="spellEnd"/>
      <w:r w:rsidRPr="001C1CE4">
        <w:rPr>
          <w:rFonts w:ascii="Garamond" w:hAnsi="Garamond"/>
          <w:lang w:val="pt-PT"/>
        </w:rPr>
        <w:t xml:space="preserve"> (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Poslije</w:t>
      </w:r>
      <w:proofErr w:type="spellEnd"/>
      <w:r w:rsidRPr="001C1CE4">
        <w:rPr>
          <w:rStyle w:val="Enfasicorsivo"/>
          <w:rFonts w:ascii="Garamond" w:eastAsiaTheme="majorEastAsia" w:hAnsi="Garamond"/>
          <w:lang w:val="pt-PT"/>
        </w:rPr>
        <w:t xml:space="preserve">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zabave</w:t>
      </w:r>
      <w:proofErr w:type="spellEnd"/>
      <w:r w:rsidRPr="001C1CE4">
        <w:rPr>
          <w:rFonts w:ascii="Garamond" w:hAnsi="Garamond"/>
          <w:lang w:val="pt-PT"/>
        </w:rPr>
        <w:t xml:space="preserve">), Tanja </w:t>
      </w:r>
      <w:proofErr w:type="spellStart"/>
      <w:r w:rsidRPr="001C1CE4">
        <w:rPr>
          <w:rFonts w:ascii="Garamond" w:hAnsi="Garamond"/>
          <w:lang w:val="pt-PT"/>
        </w:rPr>
        <w:t>Stupar</w:t>
      </w:r>
      <w:proofErr w:type="spellEnd"/>
      <w:r w:rsidRPr="001C1CE4">
        <w:rPr>
          <w:rFonts w:ascii="Garamond" w:hAnsi="Garamond"/>
          <w:lang w:val="pt-PT"/>
        </w:rPr>
        <w:t xml:space="preserve"> </w:t>
      </w:r>
      <w:proofErr w:type="spellStart"/>
      <w:r w:rsidRPr="001C1CE4">
        <w:rPr>
          <w:rFonts w:ascii="Garamond" w:hAnsi="Garamond"/>
          <w:lang w:val="pt-PT"/>
        </w:rPr>
        <w:t>Trifunović</w:t>
      </w:r>
      <w:proofErr w:type="spellEnd"/>
      <w:r w:rsidRPr="001C1CE4">
        <w:rPr>
          <w:rFonts w:ascii="Garamond" w:hAnsi="Garamond"/>
          <w:lang w:val="pt-PT"/>
        </w:rPr>
        <w:t xml:space="preserve"> (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Duž</w:t>
      </w:r>
      <w:proofErr w:type="spellEnd"/>
      <w:r w:rsidRPr="001C1CE4">
        <w:rPr>
          <w:rStyle w:val="Enfasicorsivo"/>
          <w:rFonts w:ascii="Garamond" w:eastAsiaTheme="majorEastAsia" w:hAnsi="Garamond"/>
          <w:lang w:val="pt-PT"/>
        </w:rPr>
        <w:t xml:space="preserve">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oštrog</w:t>
      </w:r>
      <w:proofErr w:type="spellEnd"/>
      <w:r w:rsidRPr="001C1CE4">
        <w:rPr>
          <w:rStyle w:val="Enfasicorsivo"/>
          <w:rFonts w:ascii="Garamond" w:eastAsiaTheme="majorEastAsia" w:hAnsi="Garamond"/>
          <w:lang w:val="pt-PT"/>
        </w:rPr>
        <w:t xml:space="preserve">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noža</w:t>
      </w:r>
      <w:proofErr w:type="spellEnd"/>
      <w:r w:rsidRPr="001C1CE4">
        <w:rPr>
          <w:rStyle w:val="Enfasicorsivo"/>
          <w:rFonts w:ascii="Garamond" w:eastAsiaTheme="majorEastAsia" w:hAnsi="Garamond"/>
          <w:lang w:val="pt-PT"/>
        </w:rPr>
        <w:t xml:space="preserve">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leti</w:t>
      </w:r>
      <w:proofErr w:type="spellEnd"/>
      <w:r w:rsidRPr="001C1CE4">
        <w:rPr>
          <w:rStyle w:val="Enfasicorsivo"/>
          <w:rFonts w:ascii="Garamond" w:eastAsiaTheme="majorEastAsia" w:hAnsi="Garamond"/>
          <w:lang w:val="pt-PT"/>
        </w:rPr>
        <w:t xml:space="preserve">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ptica</w:t>
      </w:r>
      <w:proofErr w:type="spellEnd"/>
      <w:r w:rsidRPr="001C1CE4">
        <w:rPr>
          <w:rFonts w:ascii="Garamond" w:hAnsi="Garamond"/>
          <w:lang w:val="pt-PT"/>
        </w:rPr>
        <w:t xml:space="preserve">), </w:t>
      </w:r>
      <w:proofErr w:type="spellStart"/>
      <w:r w:rsidRPr="001C1CE4">
        <w:rPr>
          <w:rFonts w:ascii="Garamond" w:hAnsi="Garamond"/>
          <w:lang w:val="pt-PT"/>
        </w:rPr>
        <w:t>Rumena</w:t>
      </w:r>
      <w:proofErr w:type="spellEnd"/>
      <w:r w:rsidRPr="001C1CE4">
        <w:rPr>
          <w:rFonts w:ascii="Garamond" w:hAnsi="Garamond"/>
          <w:lang w:val="pt-PT"/>
        </w:rPr>
        <w:t xml:space="preserve"> </w:t>
      </w:r>
      <w:proofErr w:type="spellStart"/>
      <w:r w:rsidRPr="001C1CE4">
        <w:rPr>
          <w:rFonts w:ascii="Garamond" w:hAnsi="Garamond"/>
          <w:lang w:val="pt-PT"/>
        </w:rPr>
        <w:t>Bužarovsk</w:t>
      </w:r>
      <w:r w:rsidR="00D85130">
        <w:rPr>
          <w:rFonts w:ascii="Garamond" w:hAnsi="Garamond"/>
          <w:lang w:val="pt-PT"/>
        </w:rPr>
        <w:t>a</w:t>
      </w:r>
      <w:proofErr w:type="spellEnd"/>
      <w:r w:rsidRPr="001C1CE4">
        <w:rPr>
          <w:rFonts w:ascii="Garamond" w:hAnsi="Garamond"/>
          <w:lang w:val="pt-PT"/>
        </w:rPr>
        <w:t xml:space="preserve">, e as poéticas comprometidas de </w:t>
      </w:r>
      <w:proofErr w:type="spellStart"/>
      <w:r w:rsidRPr="001C1CE4">
        <w:rPr>
          <w:rFonts w:ascii="Garamond" w:hAnsi="Garamond"/>
          <w:lang w:val="pt-PT"/>
        </w:rPr>
        <w:t>Ivančica</w:t>
      </w:r>
      <w:proofErr w:type="spellEnd"/>
      <w:r w:rsidRPr="001C1CE4">
        <w:rPr>
          <w:rFonts w:ascii="Garamond" w:hAnsi="Garamond"/>
          <w:lang w:val="pt-PT"/>
        </w:rPr>
        <w:t xml:space="preserve"> </w:t>
      </w:r>
      <w:proofErr w:type="spellStart"/>
      <w:r w:rsidRPr="001C1CE4">
        <w:rPr>
          <w:rFonts w:ascii="Garamond" w:hAnsi="Garamond"/>
          <w:lang w:val="pt-PT"/>
        </w:rPr>
        <w:t>Đerić</w:t>
      </w:r>
      <w:proofErr w:type="spellEnd"/>
      <w:r w:rsidRPr="001C1CE4">
        <w:rPr>
          <w:rFonts w:ascii="Garamond" w:hAnsi="Garamond"/>
          <w:lang w:val="pt-PT"/>
        </w:rPr>
        <w:t xml:space="preserve">, </w:t>
      </w:r>
      <w:proofErr w:type="spellStart"/>
      <w:r w:rsidRPr="001C1CE4">
        <w:rPr>
          <w:rFonts w:ascii="Garamond" w:hAnsi="Garamond"/>
          <w:lang w:val="pt-PT"/>
        </w:rPr>
        <w:t>Monika</w:t>
      </w:r>
      <w:proofErr w:type="spellEnd"/>
      <w:r w:rsidRPr="001C1CE4">
        <w:rPr>
          <w:rFonts w:ascii="Garamond" w:hAnsi="Garamond"/>
          <w:lang w:val="pt-PT"/>
        </w:rPr>
        <w:t xml:space="preserve"> </w:t>
      </w:r>
      <w:proofErr w:type="spellStart"/>
      <w:r w:rsidRPr="001C1CE4">
        <w:rPr>
          <w:rFonts w:ascii="Garamond" w:hAnsi="Garamond"/>
          <w:lang w:val="pt-PT"/>
        </w:rPr>
        <w:t>Herceg</w:t>
      </w:r>
      <w:proofErr w:type="spellEnd"/>
      <w:r w:rsidRPr="001C1CE4">
        <w:rPr>
          <w:rFonts w:ascii="Garamond" w:hAnsi="Garamond"/>
          <w:lang w:val="pt-PT"/>
        </w:rPr>
        <w:t xml:space="preserve"> e </w:t>
      </w:r>
      <w:proofErr w:type="spellStart"/>
      <w:r w:rsidRPr="001C1CE4">
        <w:rPr>
          <w:rFonts w:ascii="Garamond" w:hAnsi="Garamond"/>
          <w:lang w:val="pt-PT"/>
        </w:rPr>
        <w:t>Olja</w:t>
      </w:r>
      <w:proofErr w:type="spellEnd"/>
      <w:r w:rsidRPr="001C1CE4">
        <w:rPr>
          <w:rFonts w:ascii="Garamond" w:hAnsi="Garamond"/>
          <w:lang w:val="pt-PT"/>
        </w:rPr>
        <w:t xml:space="preserve"> </w:t>
      </w:r>
      <w:proofErr w:type="spellStart"/>
      <w:r w:rsidRPr="001C1CE4">
        <w:rPr>
          <w:rFonts w:ascii="Garamond" w:hAnsi="Garamond"/>
          <w:lang w:val="pt-PT"/>
        </w:rPr>
        <w:t>Savičević</w:t>
      </w:r>
      <w:proofErr w:type="spellEnd"/>
      <w:r w:rsidRPr="001C1CE4">
        <w:rPr>
          <w:rFonts w:ascii="Garamond" w:hAnsi="Garamond"/>
          <w:lang w:val="pt-PT"/>
        </w:rPr>
        <w:t xml:space="preserve"> </w:t>
      </w:r>
      <w:proofErr w:type="spellStart"/>
      <w:r w:rsidRPr="001C1CE4">
        <w:rPr>
          <w:rFonts w:ascii="Garamond" w:hAnsi="Garamond"/>
          <w:lang w:val="pt-PT"/>
        </w:rPr>
        <w:t>Ivančević</w:t>
      </w:r>
      <w:proofErr w:type="spellEnd"/>
      <w:r w:rsidRPr="001C1CE4">
        <w:rPr>
          <w:rFonts w:ascii="Garamond" w:hAnsi="Garamond"/>
          <w:lang w:val="pt-PT"/>
        </w:rPr>
        <w:t>.</w:t>
      </w:r>
    </w:p>
    <w:p w14:paraId="32F1DD3E" w14:textId="77777777" w:rsidR="001C1CE4" w:rsidRPr="001C1CE4" w:rsidRDefault="001C1CE4" w:rsidP="001C1CE4">
      <w:pPr>
        <w:pStyle w:val="NormaleWeb"/>
        <w:jc w:val="both"/>
        <w:rPr>
          <w:rFonts w:ascii="Garamond" w:hAnsi="Garamond"/>
          <w:lang w:val="pt-PT"/>
        </w:rPr>
      </w:pPr>
      <w:r w:rsidRPr="001C1CE4">
        <w:rPr>
          <w:rStyle w:val="Enfasigrassetto"/>
          <w:rFonts w:ascii="Garamond" w:eastAsiaTheme="majorEastAsia" w:hAnsi="Garamond"/>
          <w:lang w:val="pt-PT"/>
        </w:rPr>
        <w:t>Linhas de investigação possíveis:</w:t>
      </w:r>
    </w:p>
    <w:p w14:paraId="03C16DE4" w14:textId="77777777" w:rsidR="001C1CE4" w:rsidRPr="001C1CE4" w:rsidRDefault="001C1CE4" w:rsidP="001C1CE4">
      <w:pPr>
        <w:pStyle w:val="NormaleWeb"/>
        <w:jc w:val="both"/>
        <w:rPr>
          <w:rFonts w:ascii="Garamond" w:hAnsi="Garamond"/>
          <w:lang w:val="pt-PT"/>
        </w:rPr>
      </w:pPr>
      <w:r w:rsidRPr="001C1CE4">
        <w:rPr>
          <w:rFonts w:ascii="Garamond" w:hAnsi="Garamond"/>
          <w:lang w:val="pt-PT"/>
        </w:rPr>
        <w:t xml:space="preserve">• </w:t>
      </w:r>
      <w:r w:rsidRPr="001C1CE4">
        <w:rPr>
          <w:rStyle w:val="Enfasigrassetto"/>
          <w:rFonts w:ascii="Garamond" w:eastAsiaTheme="majorEastAsia" w:hAnsi="Garamond"/>
          <w:lang w:val="pt-PT"/>
        </w:rPr>
        <w:t>(</w:t>
      </w:r>
      <w:proofErr w:type="spellStart"/>
      <w:r w:rsidRPr="001C1CE4">
        <w:rPr>
          <w:rStyle w:val="Enfasigrassetto"/>
          <w:rFonts w:ascii="Garamond" w:eastAsiaTheme="majorEastAsia" w:hAnsi="Garamond"/>
          <w:lang w:val="pt-PT"/>
        </w:rPr>
        <w:t>Des</w:t>
      </w:r>
      <w:proofErr w:type="spellEnd"/>
      <w:r w:rsidRPr="001C1CE4">
        <w:rPr>
          <w:rStyle w:val="Enfasigrassetto"/>
          <w:rFonts w:ascii="Garamond" w:eastAsiaTheme="majorEastAsia" w:hAnsi="Garamond"/>
          <w:lang w:val="pt-PT"/>
        </w:rPr>
        <w:t>)encontros e subversões nos feminismos:</w:t>
      </w:r>
      <w:r w:rsidRPr="001C1CE4">
        <w:rPr>
          <w:rFonts w:ascii="Garamond" w:hAnsi="Garamond"/>
          <w:lang w:val="pt-PT"/>
        </w:rPr>
        <w:t xml:space="preserve"> análise das tensões entre diferentes vagas feministas, das críticas internas aos movimentos e das representações literárias da sua capacidade — ou insuficiência — para responder à violência de género, incluindo formas alternativas de justiça e reparação.</w:t>
      </w:r>
      <w:r w:rsidRPr="001C1CE4">
        <w:rPr>
          <w:rFonts w:ascii="Garamond" w:hAnsi="Garamond"/>
          <w:lang w:val="pt-PT"/>
        </w:rPr>
        <w:br/>
        <w:t xml:space="preserve">• </w:t>
      </w:r>
      <w:r w:rsidRPr="001C1CE4">
        <w:rPr>
          <w:rStyle w:val="Enfasigrassetto"/>
          <w:rFonts w:ascii="Garamond" w:eastAsiaTheme="majorEastAsia" w:hAnsi="Garamond"/>
          <w:lang w:val="pt-PT"/>
        </w:rPr>
        <w:t>Direito e violência de género na literatura:</w:t>
      </w:r>
      <w:r w:rsidRPr="001C1CE4">
        <w:rPr>
          <w:rFonts w:ascii="Garamond" w:hAnsi="Garamond"/>
          <w:lang w:val="pt-PT"/>
        </w:rPr>
        <w:t xml:space="preserve"> reflexões sobre consentimento, vulnerabilidade, vitimização, responsabilidade e agência, à luz do ensaísmo feminista </w:t>
      </w:r>
      <w:r w:rsidRPr="006E3194">
        <w:rPr>
          <w:rFonts w:ascii="Garamond" w:hAnsi="Garamond"/>
          <w:lang w:val="pt-PT"/>
        </w:rPr>
        <w:t xml:space="preserve">contemporâneo (desde </w:t>
      </w:r>
      <w:r w:rsidRPr="006E3194">
        <w:rPr>
          <w:rStyle w:val="Enfasicorsivo"/>
          <w:rFonts w:ascii="Garamond" w:eastAsiaTheme="majorEastAsia" w:hAnsi="Garamond"/>
          <w:lang w:val="pt-PT"/>
        </w:rPr>
        <w:t>El sentido de consentir</w:t>
      </w:r>
      <w:r w:rsidRPr="006E3194">
        <w:rPr>
          <w:rFonts w:ascii="Garamond" w:hAnsi="Garamond"/>
          <w:lang w:val="pt-PT"/>
        </w:rPr>
        <w:t xml:space="preserve"> de Clara Serra até à crítica institucional de </w:t>
      </w:r>
      <w:proofErr w:type="spellStart"/>
      <w:r w:rsidRPr="006E3194">
        <w:rPr>
          <w:rFonts w:ascii="Garamond" w:hAnsi="Garamond"/>
          <w:lang w:val="pt-PT"/>
        </w:rPr>
        <w:t>Segato</w:t>
      </w:r>
      <w:proofErr w:type="spellEnd"/>
      <w:r w:rsidRPr="006E3194">
        <w:rPr>
          <w:rFonts w:ascii="Garamond" w:hAnsi="Garamond"/>
          <w:lang w:val="pt-PT"/>
        </w:rPr>
        <w:t>), e sobre a forma como</w:t>
      </w:r>
      <w:r w:rsidRPr="001C1CE4">
        <w:rPr>
          <w:rFonts w:ascii="Garamond" w:hAnsi="Garamond"/>
          <w:lang w:val="pt-PT"/>
        </w:rPr>
        <w:t xml:space="preserve"> as obras literárias reelaboram ou desestabilizam paradigmas jurídicos e morais.</w:t>
      </w:r>
      <w:r w:rsidRPr="001C1CE4">
        <w:rPr>
          <w:rFonts w:ascii="Garamond" w:hAnsi="Garamond"/>
          <w:lang w:val="pt-PT"/>
        </w:rPr>
        <w:br/>
        <w:t xml:space="preserve">• </w:t>
      </w:r>
      <w:r w:rsidRPr="001C1CE4">
        <w:rPr>
          <w:rStyle w:val="Enfasigrassetto"/>
          <w:rFonts w:ascii="Garamond" w:eastAsiaTheme="majorEastAsia" w:hAnsi="Garamond"/>
          <w:lang w:val="pt-PT"/>
        </w:rPr>
        <w:t>Poéticas da vingança e justiça alternativa:</w:t>
      </w:r>
      <w:r w:rsidRPr="001C1CE4">
        <w:rPr>
          <w:rFonts w:ascii="Garamond" w:hAnsi="Garamond"/>
          <w:lang w:val="pt-PT"/>
        </w:rPr>
        <w:t xml:space="preserve"> estudos sobre formas explícitas ou simbólicas de vingança narrativa, personagens femininas liminares (bruxas,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femmes</w:t>
      </w:r>
      <w:proofErr w:type="spellEnd"/>
      <w:r w:rsidRPr="001C1CE4">
        <w:rPr>
          <w:rStyle w:val="Enfasicorsivo"/>
          <w:rFonts w:ascii="Garamond" w:eastAsiaTheme="majorEastAsia" w:hAnsi="Garamond"/>
          <w:lang w:val="pt-PT"/>
        </w:rPr>
        <w:t xml:space="preserve">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fatales</w:t>
      </w:r>
      <w:proofErr w:type="spellEnd"/>
      <w:r w:rsidRPr="001C1CE4">
        <w:rPr>
          <w:rFonts w:ascii="Garamond" w:hAnsi="Garamond"/>
          <w:lang w:val="pt-PT"/>
        </w:rPr>
        <w:t xml:space="preserve">), a sua </w:t>
      </w:r>
      <w:proofErr w:type="spellStart"/>
      <w:r w:rsidRPr="001C1CE4">
        <w:rPr>
          <w:rFonts w:ascii="Garamond" w:hAnsi="Garamond"/>
          <w:lang w:val="pt-PT"/>
        </w:rPr>
        <w:t>ressignificação</w:t>
      </w:r>
      <w:proofErr w:type="spellEnd"/>
      <w:r w:rsidRPr="001C1CE4">
        <w:rPr>
          <w:rFonts w:ascii="Garamond" w:hAnsi="Garamond"/>
          <w:lang w:val="pt-PT"/>
        </w:rPr>
        <w:t xml:space="preserve"> a partir de categorias feministas — olhar masculino, </w:t>
      </w:r>
      <w:proofErr w:type="spellStart"/>
      <w:r w:rsidRPr="001C1CE4">
        <w:rPr>
          <w:rFonts w:ascii="Garamond" w:hAnsi="Garamond"/>
          <w:lang w:val="pt-PT"/>
        </w:rPr>
        <w:t>interseccionalidade</w:t>
      </w:r>
      <w:proofErr w:type="spellEnd"/>
      <w:r w:rsidRPr="001C1CE4">
        <w:rPr>
          <w:rFonts w:ascii="Garamond" w:hAnsi="Garamond"/>
          <w:lang w:val="pt-PT"/>
        </w:rPr>
        <w:t>, cultura da violação — e as modalidades de representação do ato de responder à violência.</w:t>
      </w:r>
      <w:r w:rsidRPr="001C1CE4">
        <w:rPr>
          <w:rFonts w:ascii="Garamond" w:hAnsi="Garamond"/>
          <w:lang w:val="pt-PT"/>
        </w:rPr>
        <w:br/>
        <w:t xml:space="preserve">• </w:t>
      </w:r>
      <w:r w:rsidRPr="001C1CE4">
        <w:rPr>
          <w:rStyle w:val="Enfasigrassetto"/>
          <w:rFonts w:ascii="Garamond" w:eastAsiaTheme="majorEastAsia" w:hAnsi="Garamond"/>
          <w:lang w:val="pt-PT"/>
        </w:rPr>
        <w:t xml:space="preserve">Narrativas do </w:t>
      </w:r>
      <w:proofErr w:type="spellStart"/>
      <w:r w:rsidRPr="001C1CE4">
        <w:rPr>
          <w:rStyle w:val="Enfasigrassetto"/>
          <w:rFonts w:ascii="Garamond" w:eastAsiaTheme="majorEastAsia" w:hAnsi="Garamond"/>
          <w:lang w:val="pt-PT"/>
        </w:rPr>
        <w:t>feminicídio</w:t>
      </w:r>
      <w:proofErr w:type="spellEnd"/>
      <w:r w:rsidRPr="001C1CE4">
        <w:rPr>
          <w:rStyle w:val="Enfasigrassetto"/>
          <w:rFonts w:ascii="Garamond" w:eastAsiaTheme="majorEastAsia" w:hAnsi="Garamond"/>
          <w:lang w:val="pt-PT"/>
        </w:rPr>
        <w:t xml:space="preserve"> e representação da vítima:</w:t>
      </w:r>
      <w:r w:rsidRPr="001C1CE4">
        <w:rPr>
          <w:rFonts w:ascii="Garamond" w:hAnsi="Garamond"/>
          <w:lang w:val="pt-PT"/>
        </w:rPr>
        <w:t xml:space="preserve"> análise das retóricas da representação (visibilidade, empatia, anestesia), das tensões entre olhar masculino e olhar feminista, das práticas de restituição da dignidade narrativa às vítimas e da função ética, política e estética do testemunho.</w:t>
      </w:r>
      <w:r w:rsidRPr="001C1CE4">
        <w:rPr>
          <w:rFonts w:ascii="Garamond" w:hAnsi="Garamond"/>
          <w:lang w:val="pt-PT"/>
        </w:rPr>
        <w:br/>
        <w:t xml:space="preserve">• </w:t>
      </w:r>
      <w:r w:rsidRPr="001C1CE4">
        <w:rPr>
          <w:rStyle w:val="Enfasigrassetto"/>
          <w:rFonts w:ascii="Garamond" w:eastAsiaTheme="majorEastAsia" w:hAnsi="Garamond"/>
          <w:lang w:val="pt-PT"/>
        </w:rPr>
        <w:t>Reescritas contemporâneas de mitos clássicos, género e violência:</w:t>
      </w:r>
      <w:r w:rsidRPr="001C1CE4">
        <w:rPr>
          <w:rFonts w:ascii="Garamond" w:hAnsi="Garamond"/>
          <w:lang w:val="pt-PT"/>
        </w:rPr>
        <w:t xml:space="preserve"> explorações das </w:t>
      </w:r>
      <w:proofErr w:type="spellStart"/>
      <w:r w:rsidRPr="001C1CE4">
        <w:rPr>
          <w:rFonts w:ascii="Garamond" w:hAnsi="Garamond"/>
          <w:lang w:val="pt-PT"/>
        </w:rPr>
        <w:t>ressignificações</w:t>
      </w:r>
      <w:proofErr w:type="spellEnd"/>
      <w:r w:rsidRPr="001C1CE4">
        <w:rPr>
          <w:rFonts w:ascii="Garamond" w:hAnsi="Garamond"/>
          <w:lang w:val="pt-PT"/>
        </w:rPr>
        <w:t xml:space="preserve"> de figuras mitológicas femininas — de Circe a Penélope, das troianas às heroínas trágicas — e de como estas releituras problematizam a relação entre violência patriarcal, agência e identidade feminina.</w:t>
      </w:r>
      <w:r w:rsidRPr="001C1CE4">
        <w:rPr>
          <w:rFonts w:ascii="Garamond" w:hAnsi="Garamond"/>
          <w:lang w:val="pt-PT"/>
        </w:rPr>
        <w:br/>
        <w:t xml:space="preserve">• </w:t>
      </w:r>
      <w:r w:rsidRPr="001C1CE4">
        <w:rPr>
          <w:rStyle w:val="Enfasigrassetto"/>
          <w:rFonts w:ascii="Garamond" w:eastAsiaTheme="majorEastAsia" w:hAnsi="Garamond"/>
          <w:lang w:val="pt-PT"/>
        </w:rPr>
        <w:t>Masculinidades, poder e violência:</w:t>
      </w:r>
      <w:r w:rsidRPr="001C1CE4">
        <w:rPr>
          <w:rFonts w:ascii="Garamond" w:hAnsi="Garamond"/>
          <w:lang w:val="pt-PT"/>
        </w:rPr>
        <w:t xml:space="preserve"> investigações sobre as configurações históricas e culturais das masculinidades hegemónicas e violentas, sobre os processos de aprendizagem e </w:t>
      </w:r>
      <w:proofErr w:type="spellStart"/>
      <w:r w:rsidRPr="001C1CE4">
        <w:rPr>
          <w:rFonts w:ascii="Garamond" w:hAnsi="Garamond"/>
          <w:lang w:val="pt-PT"/>
        </w:rPr>
        <w:t>performatividade</w:t>
      </w:r>
      <w:proofErr w:type="spellEnd"/>
      <w:r w:rsidRPr="001C1CE4">
        <w:rPr>
          <w:rFonts w:ascii="Garamond" w:hAnsi="Garamond"/>
          <w:lang w:val="pt-PT"/>
        </w:rPr>
        <w:t xml:space="preserve"> da violência, e sobre a forma como a literatura contemporânea aborda a violência masculina dirigida a mulheres, homens e subjetividades </w:t>
      </w:r>
      <w:proofErr w:type="spellStart"/>
      <w:r w:rsidRPr="001C1CE4">
        <w:rPr>
          <w:rStyle w:val="Enfasicorsivo"/>
          <w:rFonts w:ascii="Garamond" w:eastAsiaTheme="majorEastAsia" w:hAnsi="Garamond"/>
          <w:lang w:val="pt-PT"/>
        </w:rPr>
        <w:t>queer</w:t>
      </w:r>
      <w:proofErr w:type="spellEnd"/>
      <w:r w:rsidRPr="001C1CE4">
        <w:rPr>
          <w:rFonts w:ascii="Garamond" w:hAnsi="Garamond"/>
          <w:lang w:val="pt-PT"/>
        </w:rPr>
        <w:t>.</w:t>
      </w:r>
    </w:p>
    <w:p w14:paraId="2EA1798E" w14:textId="77777777" w:rsidR="001C1CE4" w:rsidRPr="001C1CE4" w:rsidRDefault="001C1CE4" w:rsidP="001C1CE4">
      <w:pPr>
        <w:pStyle w:val="NormaleWeb"/>
        <w:jc w:val="both"/>
        <w:rPr>
          <w:rFonts w:ascii="Garamond" w:hAnsi="Garamond"/>
          <w:lang w:val="pt-PT"/>
        </w:rPr>
      </w:pPr>
      <w:r w:rsidRPr="001C1CE4">
        <w:rPr>
          <w:rFonts w:ascii="Garamond" w:hAnsi="Garamond"/>
          <w:lang w:val="pt-PT"/>
        </w:rPr>
        <w:t xml:space="preserve">A data-limite para o envio dos artigos completos é </w:t>
      </w:r>
      <w:r w:rsidRPr="001C1CE4">
        <w:rPr>
          <w:rStyle w:val="Enfasigrassetto"/>
          <w:rFonts w:ascii="Garamond" w:eastAsiaTheme="majorEastAsia" w:hAnsi="Garamond"/>
          <w:lang w:val="pt-PT"/>
        </w:rPr>
        <w:t>30 de junho de 2026</w:t>
      </w:r>
      <w:r w:rsidRPr="001C1CE4">
        <w:rPr>
          <w:rFonts w:ascii="Garamond" w:hAnsi="Garamond"/>
          <w:lang w:val="pt-PT"/>
        </w:rPr>
        <w:t xml:space="preserve">. Os trabalhos não deverão exceder </w:t>
      </w:r>
      <w:r w:rsidRPr="001C1CE4">
        <w:rPr>
          <w:rStyle w:val="Enfasigrassetto"/>
          <w:rFonts w:ascii="Garamond" w:eastAsiaTheme="majorEastAsia" w:hAnsi="Garamond"/>
          <w:lang w:val="pt-PT"/>
        </w:rPr>
        <w:t>40 000 caracteres</w:t>
      </w:r>
      <w:r w:rsidRPr="001C1CE4">
        <w:rPr>
          <w:rFonts w:ascii="Garamond" w:hAnsi="Garamond"/>
          <w:lang w:val="pt-PT"/>
        </w:rPr>
        <w:t xml:space="preserve"> (incluindo espaços). As línguas principais de publicação são </w:t>
      </w:r>
      <w:proofErr w:type="gramStart"/>
      <w:r w:rsidRPr="001C1CE4">
        <w:rPr>
          <w:rStyle w:val="Enfasigrassetto"/>
          <w:rFonts w:ascii="Garamond" w:eastAsiaTheme="majorEastAsia" w:hAnsi="Garamond"/>
          <w:lang w:val="pt-PT"/>
        </w:rPr>
        <w:t>italiano</w:t>
      </w:r>
      <w:proofErr w:type="gramEnd"/>
      <w:r w:rsidRPr="001C1CE4">
        <w:rPr>
          <w:rFonts w:ascii="Garamond" w:hAnsi="Garamond"/>
          <w:lang w:val="pt-PT"/>
        </w:rPr>
        <w:t xml:space="preserve"> e </w:t>
      </w:r>
      <w:r w:rsidRPr="001C1CE4">
        <w:rPr>
          <w:rStyle w:val="Enfasigrassetto"/>
          <w:rFonts w:ascii="Garamond" w:eastAsiaTheme="majorEastAsia" w:hAnsi="Garamond"/>
          <w:lang w:val="pt-PT"/>
        </w:rPr>
        <w:t>inglês</w:t>
      </w:r>
      <w:r w:rsidRPr="001C1CE4">
        <w:rPr>
          <w:rFonts w:ascii="Garamond" w:hAnsi="Garamond"/>
          <w:lang w:val="pt-PT"/>
        </w:rPr>
        <w:t xml:space="preserve">. Aceitam-se contribuições noutras línguas (p.e. em português), mediante consulta prévia da equipa editorial. </w:t>
      </w:r>
    </w:p>
    <w:p w14:paraId="03C0F922" w14:textId="77777777" w:rsidR="001C1CE4" w:rsidRPr="001C1CE4" w:rsidRDefault="001C1CE4" w:rsidP="001C1CE4">
      <w:pPr>
        <w:jc w:val="both"/>
        <w:rPr>
          <w:rFonts w:ascii="Garamond" w:hAnsi="Garamond"/>
          <w:sz w:val="24"/>
          <w:szCs w:val="24"/>
          <w:lang w:val="pt-PT"/>
        </w:rPr>
      </w:pPr>
    </w:p>
    <w:p w14:paraId="43BE2C6D" w14:textId="77777777" w:rsidR="00C02B72" w:rsidRPr="001C1CE4" w:rsidRDefault="00C02B72" w:rsidP="000B78A0">
      <w:pPr>
        <w:jc w:val="both"/>
        <w:rPr>
          <w:rFonts w:ascii="Garamond" w:hAnsi="Garamond"/>
          <w:sz w:val="24"/>
          <w:szCs w:val="24"/>
          <w:lang w:val="pt-PT"/>
        </w:rPr>
      </w:pPr>
    </w:p>
    <w:sectPr w:rsidR="00C02B72" w:rsidRPr="001C1CE4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E70B1A" w14:textId="77777777" w:rsidR="00806CEC" w:rsidRDefault="00806CEC" w:rsidP="001B7D32">
      <w:pPr>
        <w:spacing w:after="0" w:line="240" w:lineRule="auto"/>
      </w:pPr>
      <w:r>
        <w:separator/>
      </w:r>
    </w:p>
  </w:endnote>
  <w:endnote w:type="continuationSeparator" w:id="0">
    <w:p w14:paraId="1589E52A" w14:textId="77777777" w:rsidR="00806CEC" w:rsidRDefault="00806CEC" w:rsidP="001B7D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altName w:val="Calibri"/>
    <w:panose1 w:val="020B06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panose1 w:val="020B0604020202020204"/>
    <w:charset w:val="00"/>
    <w:family w:val="swiss"/>
    <w:pitch w:val="variable"/>
    <w:sig w:usb0="20000287" w:usb1="00000003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53E607" w14:textId="77777777" w:rsidR="00806CEC" w:rsidRDefault="00806CEC" w:rsidP="001B7D32">
      <w:pPr>
        <w:spacing w:after="0" w:line="240" w:lineRule="auto"/>
      </w:pPr>
      <w:r>
        <w:separator/>
      </w:r>
    </w:p>
  </w:footnote>
  <w:footnote w:type="continuationSeparator" w:id="0">
    <w:p w14:paraId="0B2A008C" w14:textId="77777777" w:rsidR="00806CEC" w:rsidRDefault="00806CEC" w:rsidP="001B7D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796DC8" w14:textId="1053E348" w:rsidR="001B7D32" w:rsidRDefault="001B7D32">
    <w:pPr>
      <w:pStyle w:val="Intestazione"/>
    </w:pPr>
    <w:r>
      <w:rPr>
        <w:noProof/>
        <w:lang w:eastAsia="it-IT"/>
      </w:rPr>
      <w:drawing>
        <wp:inline distT="0" distB="0" distL="0" distR="0" wp14:anchorId="7D42F17B" wp14:editId="0C3701F5">
          <wp:extent cx="3670300" cy="872448"/>
          <wp:effectExtent l="0" t="0" r="0" b="4445"/>
          <wp:docPr id="2" name="Immagine 2" descr="Logo della rivista Nube"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 descr="Logo della rivista Nube">
                    <a:extLst>
                      <a:ext uri="{C183D7F6-B498-43B3-948B-1728B52AA6E4}">
                        <adec:decorative xmlns:adec="http://schemas.microsoft.com/office/drawing/2017/decorative" val="0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848402" cy="91478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5755735"/>
    <w:multiLevelType w:val="multilevel"/>
    <w:tmpl w:val="B5AE48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9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7D32"/>
    <w:rsid w:val="000B78A0"/>
    <w:rsid w:val="000F623A"/>
    <w:rsid w:val="0016448C"/>
    <w:rsid w:val="001B7D32"/>
    <w:rsid w:val="001C1CE4"/>
    <w:rsid w:val="001C34C1"/>
    <w:rsid w:val="0030049D"/>
    <w:rsid w:val="004A4A88"/>
    <w:rsid w:val="00596346"/>
    <w:rsid w:val="006E3194"/>
    <w:rsid w:val="00806CEC"/>
    <w:rsid w:val="008325A4"/>
    <w:rsid w:val="00951076"/>
    <w:rsid w:val="00C02B72"/>
    <w:rsid w:val="00D85130"/>
    <w:rsid w:val="00DE6C81"/>
    <w:rsid w:val="00E73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71F009"/>
  <w15:chartTrackingRefBased/>
  <w15:docId w15:val="{43F9DF7B-4623-42C2-B45A-1F4545D1D3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1B7D3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B7D3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B7D3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B7D3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B7D3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B7D3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B7D3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B7D3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B7D3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B7D3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B7D3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B7D3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B7D3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B7D3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B7D3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B7D3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B7D3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B7D32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B7D3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B7D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B7D3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B7D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B7D3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B7D3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B7D3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1B7D3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B7D3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B7D3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B7D32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1B7D3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B7D32"/>
  </w:style>
  <w:style w:type="paragraph" w:styleId="Pidipagina">
    <w:name w:val="footer"/>
    <w:basedOn w:val="Normale"/>
    <w:link w:val="PidipaginaCarattere"/>
    <w:uiPriority w:val="99"/>
    <w:unhideWhenUsed/>
    <w:rsid w:val="001B7D3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B7D32"/>
  </w:style>
  <w:style w:type="character" w:styleId="Collegamentoipertestuale">
    <w:name w:val="Hyperlink"/>
    <w:basedOn w:val="Carpredefinitoparagrafo"/>
    <w:uiPriority w:val="99"/>
    <w:unhideWhenUsed/>
    <w:rsid w:val="000B78A0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B78A0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semiHidden/>
    <w:unhideWhenUsed/>
    <w:rsid w:val="001C1C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styleId="Enfasicorsivo">
    <w:name w:val="Emphasis"/>
    <w:basedOn w:val="Carpredefinitoparagrafo"/>
    <w:uiPriority w:val="20"/>
    <w:qFormat/>
    <w:rsid w:val="001C1CE4"/>
    <w:rPr>
      <w:i/>
      <w:iCs/>
    </w:rPr>
  </w:style>
  <w:style w:type="character" w:styleId="Enfasigrassetto">
    <w:name w:val="Strong"/>
    <w:basedOn w:val="Carpredefinitoparagrafo"/>
    <w:uiPriority w:val="22"/>
    <w:qFormat/>
    <w:rsid w:val="001C1CE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1081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9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rivistanube.dlls.univr.it/inde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1076</Words>
  <Characters>6137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Ada Milani</cp:lastModifiedBy>
  <cp:revision>10</cp:revision>
  <dcterms:created xsi:type="dcterms:W3CDTF">2025-12-27T16:28:00Z</dcterms:created>
  <dcterms:modified xsi:type="dcterms:W3CDTF">2026-01-12T09:20:00Z</dcterms:modified>
</cp:coreProperties>
</file>