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Gill Sans" w:cs="Gill Sans" w:eastAsia="Gill Sans" w:hAnsi="Gill Sans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REDE IBERO-AMERICANA DE PESQUISA EM NARRATIVAS AUDIOVISUAIS              E A UNIVERSIDAD AUTÓNOMA DE BAJA CALIFORNIA, POR MEIO DA FACULDADE DE ARTES MEXICALI E DA FACULDADE DE CIÊNCIAS HUMANAS DA UABC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Gill Sans" w:cs="Gill Sans" w:eastAsia="Gill Sans" w:hAnsi="Gill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CONVIDAM</w:t>
      </w:r>
    </w:p>
    <w:p w:rsidR="00000000" w:rsidDel="00000000" w:rsidP="00000000" w:rsidRDefault="00000000" w:rsidRPr="00000000" w14:paraId="00000004">
      <w:pPr>
        <w:rPr>
          <w:rFonts w:ascii="Gill Sans" w:cs="Gill Sans" w:eastAsia="Gill Sans" w:hAnsi="Gill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rFonts w:ascii="Gill Sans" w:cs="Gill Sans" w:eastAsia="Gill Sans" w:hAnsi="Gill Sans"/>
        </w:rPr>
      </w:pPr>
      <w:r w:rsidDel="00000000" w:rsidR="00000000" w:rsidRPr="00000000">
        <w:rPr>
          <w:rFonts w:ascii="Gill Sans" w:cs="Gill Sans" w:eastAsia="Gill Sans" w:hAnsi="Gill Sans"/>
          <w:rtl w:val="0"/>
        </w:rPr>
        <w:t xml:space="preserve">Pessoas pesquisadoras, assim como docentes e estudantes -de cursos de produção audiovisual, artes cinematográficas, ciências da comunicação e áreas afins- com interesse na reflexão, análise, crítica e discussão de temas relacionados às narrativas audiovisuais, a participarem do</w:t>
      </w:r>
    </w:p>
    <w:p w:rsidR="00000000" w:rsidDel="00000000" w:rsidP="00000000" w:rsidRDefault="00000000" w:rsidRPr="00000000" w14:paraId="00000006">
      <w:pPr>
        <w:rPr>
          <w:rFonts w:ascii="Gill Sans" w:cs="Gill Sans" w:eastAsia="Gill Sans" w:hAnsi="Gill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Gill Sans" w:cs="Gill Sans" w:eastAsia="Gill Sans" w:hAnsi="Gill Sans"/>
          <w:b w:val="1"/>
          <w:sz w:val="38"/>
          <w:szCs w:val="38"/>
        </w:rPr>
      </w:pPr>
      <w:r w:rsidDel="00000000" w:rsidR="00000000" w:rsidRPr="00000000">
        <w:rPr>
          <w:rFonts w:ascii="Gill Sans" w:cs="Gill Sans" w:eastAsia="Gill Sans" w:hAnsi="Gill Sans"/>
          <w:b w:val="1"/>
          <w:sz w:val="38"/>
          <w:szCs w:val="38"/>
          <w:rtl w:val="0"/>
        </w:rPr>
        <w:t xml:space="preserve">VI CONGRESSO INTERNACIONAL DA REDE IBERO-AMERICANA DE PESQUISA EM NARRATIVAS AUDIOVISUAIS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Gill Sans" w:cs="Gill Sans" w:eastAsia="Gill Sans" w:hAnsi="Gill Sans"/>
          <w:b w:val="1"/>
          <w:color w:val="434343"/>
          <w:sz w:val="26"/>
          <w:szCs w:val="26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434343"/>
          <w:sz w:val="26"/>
          <w:szCs w:val="26"/>
          <w:rtl w:val="0"/>
        </w:rPr>
        <w:t xml:space="preserve">Transfronteiras audiovisuais: limites, dinâmicas e mediações narrativas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Gill Sans" w:cs="Gill Sans" w:eastAsia="Gill Sans" w:hAnsi="Gill Sans"/>
          <w:color w:val="434343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Gill Sans" w:cs="Gill Sans" w:eastAsia="Gill Sans" w:hAnsi="Gill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0" w:firstLine="0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HISTÓRICO</w:t>
      </w:r>
    </w:p>
    <w:p w:rsidR="00000000" w:rsidDel="00000000" w:rsidP="00000000" w:rsidRDefault="00000000" w:rsidRPr="00000000" w14:paraId="0000000C">
      <w:pPr>
        <w:ind w:left="0" w:firstLine="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Rede Ibero-Americana de Pesquisa em Narrativas Audiovisuais (Rede INAV) é uma organização internacional de pesquisadoras e pesquisadores da área audiovisual que atua, desde 2005, com o objetivo de promover o intercâmbio acadêmico e de pesquisa entre profissionais da área de comunicação da Ibero-América que têm como interesse comum o estudo das narrativas audiovisuais.</w:t>
      </w:r>
    </w:p>
    <w:p w:rsidR="00000000" w:rsidDel="00000000" w:rsidP="00000000" w:rsidRDefault="00000000" w:rsidRPr="00000000" w14:paraId="0000000D">
      <w:pPr>
        <w:ind w:left="0" w:firstLine="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Desde sua fundação, a Rede INAV já organizou congressos internacionais em Sevilha, Espanha (2012); Loja, Equador (2014); São Paulo, Brasil (2016); Córdoba, Argentina (2018); e Trujillo, Peru (2023), os quais promoveram o intercâmbio de ideias e experiências, assim como a publicação de de pesquisa, a geração de projetos conjuntos, promovendo a interação entre pesquisadoras, pesquisadores, docentes, estudantes e profissionais do audiovisual.</w:t>
      </w:r>
    </w:p>
    <w:p w:rsidR="00000000" w:rsidDel="00000000" w:rsidP="00000000" w:rsidRDefault="00000000" w:rsidRPr="00000000" w14:paraId="0000000E">
      <w:pPr>
        <w:ind w:left="0" w:firstLine="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Em 2025, quando celebramos os primeiros 20 anos da Rede, a sexta edição do congresso será realizada de 9 a 11 de abril, nas dependências da Universidade Autônoma de Baja California, em Mexicali, Baja California, México, a partir das seguintes </w:t>
      </w:r>
    </w:p>
    <w:p w:rsidR="00000000" w:rsidDel="00000000" w:rsidP="00000000" w:rsidRDefault="00000000" w:rsidRPr="00000000" w14:paraId="0000000F">
      <w:pPr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NORMAS DE PARTICIPAÇÃO</w:t>
      </w:r>
    </w:p>
    <w:p w:rsidR="00000000" w:rsidDel="00000000" w:rsidP="00000000" w:rsidRDefault="00000000" w:rsidRPr="00000000" w14:paraId="0000001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O congresso aceitará propostas de comunicação que abordem a produção e o discurso audiovisual em seus diferentes formatos, linguagens e gêneros -cinema, televisão aberta, streaming, redes sociais, realidades expandidas, webséries, videoarte (videoperformance, videodança, videopoema), videogames, </w:t>
      </w:r>
      <w:r w:rsidDel="00000000" w:rsidR="00000000" w:rsidRPr="00000000">
        <w:rPr>
          <w:rFonts w:ascii="Gill Sans" w:cs="Gill Sans" w:eastAsia="Gill Sans" w:hAnsi="Gill Sans"/>
          <w:i w:val="1"/>
          <w:sz w:val="24"/>
          <w:szCs w:val="24"/>
          <w:rtl w:val="0"/>
        </w:rPr>
        <w:t xml:space="preserve">live action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, animação, ficção, documentário, publicidade, jornalismo etc.-, contemplando os seguintes eixos temáticos: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EIXOS TEMÁTICOS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Fronteiras, bordas, margens e migrações </w:t>
      </w:r>
    </w:p>
    <w:p w:rsidR="00000000" w:rsidDel="00000000" w:rsidP="00000000" w:rsidRDefault="00000000" w:rsidRPr="00000000" w14:paraId="00000015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Presença temática, estética, simbólica e conceitual das fronteiras, bordas, margens e migrações, e suas implicações geopolíticas e culturais, como globalização, diáspora, mobilidade, refúgio, contrabando, tráfico, tradução etc., nas narrativas audiovisuais.</w:t>
      </w:r>
    </w:p>
    <w:p w:rsidR="00000000" w:rsidDel="00000000" w:rsidP="00000000" w:rsidRDefault="00000000" w:rsidRPr="00000000" w14:paraId="00000016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Gêneros audiovisuais: limites, hibridações e consequências</w:t>
      </w:r>
    </w:p>
    <w:p w:rsidR="00000000" w:rsidDel="00000000" w:rsidP="00000000" w:rsidRDefault="00000000" w:rsidRPr="00000000" w14:paraId="00000017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Potências e limitações dos gêneros audiovisuais e suas hibridações, desde o binômio documentário/ficção, passando por gêneros clássicos como romance, faroeste, suspense, comédia, e musical, prestando atenção às suas configurações híbridas e expandidas, como o mockumentary, a comédia romântica, o black horror, o cinema queer, etc. </w:t>
      </w:r>
    </w:p>
    <w:p w:rsidR="00000000" w:rsidDel="00000000" w:rsidP="00000000" w:rsidRDefault="00000000" w:rsidRPr="00000000" w14:paraId="00000018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Audiovisões corporais: gênero, sexualidades, raça e etnia</w:t>
      </w:r>
    </w:p>
    <w:p w:rsidR="00000000" w:rsidDel="00000000" w:rsidP="00000000" w:rsidRDefault="00000000" w:rsidRPr="00000000" w14:paraId="00000019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Imbricamentos entre o audiovisual e as corporalidades na composição de narrativas, prestando atenção às perspectivas de gênero, sexualidade, raça e etnia, bem como a suas interseccionalidades no contexto de representação, contra-representação e representatividade. </w:t>
      </w:r>
    </w:p>
    <w:p w:rsidR="00000000" w:rsidDel="00000000" w:rsidP="00000000" w:rsidRDefault="00000000" w:rsidRPr="00000000" w14:paraId="0000001A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Design de som: poéticas sonoras e musicais</w:t>
      </w:r>
    </w:p>
    <w:p w:rsidR="00000000" w:rsidDel="00000000" w:rsidP="00000000" w:rsidRDefault="00000000" w:rsidRPr="00000000" w14:paraId="0000001B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Análise e discussão do discurso sonoro no âmbito do audiovisual: semiótica da experiência auditiva, roteiro do som como recurso dramático, usos e implicações da música no audiovisual, protocolos de pós-produção e processos de recepção da trilha sonora.</w:t>
      </w:r>
    </w:p>
    <w:p w:rsidR="00000000" w:rsidDel="00000000" w:rsidP="00000000" w:rsidRDefault="00000000" w:rsidRPr="00000000" w14:paraId="0000001C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Recepção, interatividade, inclusão: experiências do analógico ao digital</w:t>
      </w:r>
    </w:p>
    <w:p w:rsidR="00000000" w:rsidDel="00000000" w:rsidP="00000000" w:rsidRDefault="00000000" w:rsidRPr="00000000" w14:paraId="0000001D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Relações entre os processos de produção/realização e os processos de recepção, interatividade e inclusão, com atenção às transformações narrativas e de recepção que emergem das novas tecnologias, assim como às diferentes necessidades de pessoas com diferentes capacidades para a fruição das experiências audiovisuais, sejam analógicas ou digitais. </w:t>
      </w:r>
    </w:p>
    <w:p w:rsidR="00000000" w:rsidDel="00000000" w:rsidP="00000000" w:rsidRDefault="00000000" w:rsidRPr="00000000" w14:paraId="0000001E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Narrativas colaborativas: ativismos audiovisuais e produções comunitárias</w:t>
      </w:r>
    </w:p>
    <w:p w:rsidR="00000000" w:rsidDel="00000000" w:rsidP="00000000" w:rsidRDefault="00000000" w:rsidRPr="00000000" w14:paraId="0000001F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Configurações poéticas, narrativas, estéticas e políticas das narrativas audiovisuais colaborativas a partir das perspectivas insurgentes dos ativismo audiovisuais e das produções comunitárias. </w:t>
      </w:r>
    </w:p>
    <w:p w:rsidR="00000000" w:rsidDel="00000000" w:rsidP="00000000" w:rsidRDefault="00000000" w:rsidRPr="00000000" w14:paraId="00000020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Imagens no tempo: identidades, memórias, fábulações e arquivos </w:t>
      </w:r>
    </w:p>
    <w:p w:rsidR="00000000" w:rsidDel="00000000" w:rsidP="00000000" w:rsidRDefault="00000000" w:rsidRPr="00000000" w14:paraId="00000021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Propõe discutir e analisar o poder do audiovisual como tecnologia da memória, prestando atenção às implicações e questões -individuais e colectivas- que surgem de suas capacidades de registar, esculpir e imaginar o tempo.</w:t>
      </w:r>
    </w:p>
    <w:p w:rsidR="00000000" w:rsidDel="00000000" w:rsidP="00000000" w:rsidRDefault="00000000" w:rsidRPr="00000000" w14:paraId="00000022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Poéticas visuais: imaginários estéticos e design de arte</w:t>
      </w:r>
    </w:p>
    <w:p w:rsidR="00000000" w:rsidDel="00000000" w:rsidP="00000000" w:rsidRDefault="00000000" w:rsidRPr="00000000" w14:paraId="00000023">
      <w:pPr>
        <w:spacing w:after="240" w:before="240" w:lineRule="auto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Elementos estéticos como a cor, a iluminação e a composição, enquanto componentes significativos da narrativa visual e da resposta emocional em sua receção. Estudos sobre a evolução histórica do design de produção e a criação de atmosferas estéticas. Relações colaborativas entre departamentos para alcançar uma visão artística coerente e envolvente.</w:t>
      </w:r>
    </w:p>
    <w:p w:rsidR="00000000" w:rsidDel="00000000" w:rsidP="00000000" w:rsidRDefault="00000000" w:rsidRPr="00000000" w14:paraId="00000024">
      <w:pPr>
        <w:jc w:val="center"/>
        <w:rPr>
          <w:rFonts w:ascii="Gill Sans" w:cs="Gill Sans" w:eastAsia="Gill Sans" w:hAnsi="Gill Sans"/>
          <w:b w:val="1"/>
          <w:color w:val="666666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color w:val="666666"/>
          <w:sz w:val="24"/>
          <w:szCs w:val="24"/>
          <w:rtl w:val="0"/>
        </w:rPr>
        <w:t xml:space="preserve">Intermidialidade, transmidialidade e outras hibridações audiovisuais</w:t>
      </w:r>
    </w:p>
    <w:p w:rsidR="00000000" w:rsidDel="00000000" w:rsidP="00000000" w:rsidRDefault="00000000" w:rsidRPr="00000000" w14:paraId="00000025">
      <w:pPr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Novas formas de produção, circulação e recepção audiovisual que atravessam gêneros e formatos tradicionais por meio da expansão das suas narrativas: realidade aumentada, vídeos imersivos, documentários interativos, entre outros. Assim como novas formas de circulação e recepção de conteúdos audiovisuais. O </w:t>
      </w:r>
      <w:r w:rsidDel="00000000" w:rsidR="00000000" w:rsidRPr="00000000">
        <w:rPr>
          <w:rFonts w:ascii="Gill Sans" w:cs="Gill Sans" w:eastAsia="Gill Sans" w:hAnsi="Gill Sans"/>
          <w:i w:val="1"/>
          <w:sz w:val="24"/>
          <w:szCs w:val="24"/>
          <w:rtl w:val="0"/>
        </w:rPr>
        <w:t xml:space="preserve">streaming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 como fenômeno que modificou a distribuição e o consumo audiovisual.</w:t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both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MODALIDADES DE PARTICIPAÇÃO</w:t>
      </w:r>
    </w:p>
    <w:p w:rsidR="00000000" w:rsidDel="00000000" w:rsidP="00000000" w:rsidRDefault="00000000" w:rsidRPr="00000000" w14:paraId="0000002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Poderão participar do congresso investigadoras e investigadores do campo das narrativas audiovisuais, bem como estudantes de graduação e de pós-graduação da área da comunicação e de áreas afins. 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Será aceita a participação de até três pessoas em coautoria por comunicação, devendo cada uma realizar o pagamento individual de sua inscrição. 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participação no congresso poderá ser realizada de forma presencial, nas dependências da UABC.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Mas também será considerada a participação virtual, que acontecerá por meio de apresentações previamente gravadas, sendo necessária a presença virtual de autora(s) e autor(es) no horário agendado, para a posterior discussão.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Em ambos os casos, com o objetivo de fomentar o intercâmbio de ideias e a interação entre as pessoas que apresentarão comunicações e as pessoas que estarão assistindo.</w:t>
      </w:r>
    </w:p>
    <w:p w:rsidR="00000000" w:rsidDel="00000000" w:rsidP="00000000" w:rsidRDefault="00000000" w:rsidRPr="00000000" w14:paraId="0000002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PROCESSO DE SELEÇÃO</w:t>
      </w:r>
    </w:p>
    <w:p w:rsidR="00000000" w:rsidDel="00000000" w:rsidP="00000000" w:rsidRDefault="00000000" w:rsidRPr="00000000" w14:paraId="0000003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Será realizado por comissão científica que analisará, avaliará e emitirá parecer sobre as propostas recebidas, considerando os requisitos e perfis das modalidades de participação. As normas estão especificadas a seguir</w:t>
      </w:r>
    </w:p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hyperlink r:id="rId7">
        <w:r w:rsidDel="00000000" w:rsidR="00000000" w:rsidRPr="00000000">
          <w:rPr>
            <w:rFonts w:ascii="Gill Sans" w:cs="Gill Sans" w:eastAsia="Gill Sans" w:hAnsi="Gill Sans"/>
            <w:b w:val="1"/>
            <w:color w:val="1155cc"/>
            <w:sz w:val="24"/>
            <w:szCs w:val="24"/>
            <w:u w:val="single"/>
            <w:rtl w:val="0"/>
          </w:rPr>
          <w:t xml:space="preserve">FORMULÁRIO DE INSCRIÇÃO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comissão científica será formada por especialistas com relação com a Rede INAV, que poderá emitir pareceres de aprovação ou reprovação, conforme a avaliação e/ou quantidade de observações emitidas sobre as propostas apresentadas. </w:t>
      </w:r>
    </w:p>
    <w:p w:rsidR="00000000" w:rsidDel="00000000" w:rsidP="00000000" w:rsidRDefault="00000000" w:rsidRPr="00000000" w14:paraId="0000003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PARTICIPAÇÃO</w:t>
      </w:r>
    </w:p>
    <w:p w:rsidR="00000000" w:rsidDel="00000000" w:rsidP="00000000" w:rsidRDefault="00000000" w:rsidRPr="00000000" w14:paraId="0000003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Após a emissão dos pareceres referentes a cada modalidade, as pessoas inscritas serão informadas sobre os resultados por e-mail.</w:t>
      </w:r>
    </w:p>
    <w:p w:rsidR="00000000" w:rsidDel="00000000" w:rsidP="00000000" w:rsidRDefault="00000000" w:rsidRPr="00000000" w14:paraId="0000003A">
      <w:pPr>
        <w:numPr>
          <w:ilvl w:val="0"/>
          <w:numId w:val="2"/>
        </w:numP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Os grupos de trabalho serão organizados de acordo com as modalidades de participação, considerando as afinidades entre os temas e os enfoques apresentados em cada proposta. A quantidade e a organização das mesas serão decididas conforme a quantidade e as temáticas das propostas recebidas. </w:t>
      </w:r>
    </w:p>
    <w:p w:rsidR="00000000" w:rsidDel="00000000" w:rsidP="00000000" w:rsidRDefault="00000000" w:rsidRPr="00000000" w14:paraId="0000003B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Durante o evento, as comunicações aprovadas deverão ser apresentadas em até 15 minutos, incluindo nestes, quando necessário, o uso de materiais de apoio, como sequências de áudio e/ou vídeo.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Cada mesa terá a duração de até duas horas, incluindo as apresentações e o tempo para a discussão.</w:t>
      </w:r>
    </w:p>
    <w:p w:rsidR="00000000" w:rsidDel="00000000" w:rsidP="00000000" w:rsidRDefault="00000000" w:rsidRPr="00000000" w14:paraId="0000003D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organização e a sequência das mesas será organizada de forma consecutiva, evitando ao máximo a sobreposição entre os paineis e levando em consideração os fusos horários dos países das pessoas que participarão de forma virtual.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PUBLICAÇÃO</w:t>
      </w:r>
    </w:p>
    <w:p w:rsidR="00000000" w:rsidDel="00000000" w:rsidP="00000000" w:rsidRDefault="00000000" w:rsidRPr="00000000" w14:paraId="00000040">
      <w:pP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0" w:lineRule="auto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Após o congresso, levando em consideração o número e a qualidade das propostas enviadas, as pessoas que apresentaram comunicações poderão enviar uma proposta de artigo científico a ser publicado como capítulo de livro a ser editado pelas instituições promotoras do evento, de acordo com os seguintes critérios: </w:t>
      </w:r>
    </w:p>
    <w:p w:rsidR="00000000" w:rsidDel="00000000" w:rsidP="00000000" w:rsidRDefault="00000000" w:rsidRPr="00000000" w14:paraId="00000042">
      <w:pPr>
        <w:widowControl w:val="0"/>
        <w:numPr>
          <w:ilvl w:val="0"/>
          <w:numId w:val="2"/>
        </w:numPr>
        <w:spacing w:after="0" w:before="170.023193359375" w:line="240" w:lineRule="auto"/>
        <w:ind w:left="720" w:hanging="360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Temática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. </w:t>
      </w:r>
    </w:p>
    <w:p w:rsidR="00000000" w:rsidDel="00000000" w:rsidP="00000000" w:rsidRDefault="00000000" w:rsidRPr="00000000" w14:paraId="00000043">
      <w:pPr>
        <w:widowControl w:val="0"/>
        <w:spacing w:after="0" w:before="32.725830078125" w:line="263.4818172454834" w:lineRule="auto"/>
        <w:ind w:left="720" w:right="299.11376953125" w:firstLine="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temática e o enfoque dos artigos deverão expandir a discussão apresentada no congresso. </w:t>
      </w:r>
    </w:p>
    <w:p w:rsidR="00000000" w:rsidDel="00000000" w:rsidP="00000000" w:rsidRDefault="00000000" w:rsidRPr="00000000" w14:paraId="00000044">
      <w:pPr>
        <w:numPr>
          <w:ilvl w:val="0"/>
          <w:numId w:val="2"/>
        </w:numP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Extensão e normas. </w:t>
      </w:r>
    </w:p>
    <w:p w:rsidR="00000000" w:rsidDel="00000000" w:rsidP="00000000" w:rsidRDefault="00000000" w:rsidRPr="00000000" w14:paraId="00000045">
      <w:pPr>
        <w:widowControl w:val="0"/>
        <w:spacing w:after="0" w:before="32.725830078125" w:line="262.2139263153076" w:lineRule="auto"/>
        <w:ind w:left="731.45751953125" w:right="123.3544921875" w:hanging="2.649688720703125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Cada artigo deverá ter a extensão mínima de 10 e máxima de 20 páginas (fonte Arial 12, espaçamento 1,5 entre linhas), incluindo referências bibliográficas e anexos, caso necessário. O </w:t>
      </w:r>
      <w:r w:rsidDel="00000000" w:rsidR="00000000" w:rsidRPr="00000000">
        <w:rPr>
          <w:rFonts w:ascii="Gill Sans" w:cs="Gill Sans" w:eastAsia="Gill Sans" w:hAnsi="Gill Sans"/>
          <w:i w:val="1"/>
          <w:sz w:val="24"/>
          <w:szCs w:val="24"/>
          <w:rtl w:val="0"/>
        </w:rPr>
        <w:t xml:space="preserve">template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 com as características e normas para os artigos será disponibilizado posteriormente.</w:t>
      </w:r>
    </w:p>
    <w:p w:rsidR="00000000" w:rsidDel="00000000" w:rsidP="00000000" w:rsidRDefault="00000000" w:rsidRPr="00000000" w14:paraId="00000046">
      <w:pPr>
        <w:numPr>
          <w:ilvl w:val="0"/>
          <w:numId w:val="2"/>
        </w:numPr>
        <w:spacing w:after="0" w:lineRule="auto"/>
        <w:ind w:left="720" w:hanging="36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Critérios de avaliação e seleção. </w:t>
      </w:r>
    </w:p>
    <w:p w:rsidR="00000000" w:rsidDel="00000000" w:rsidP="00000000" w:rsidRDefault="00000000" w:rsidRPr="00000000" w14:paraId="00000047">
      <w:pPr>
        <w:spacing w:after="0" w:lineRule="auto"/>
        <w:ind w:left="720" w:firstLine="0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 seleção de artigos para publicação será realizada por uma comissão científica, considerando a relevância temática, a clareza argumentativa e as qualidades formais de atenção às normas. Depois de analisadas, as propostas poderão ser aprovadas, aprovadas com considerações ou reprovadas. As decisões da comissão científica serão irrefutáveis. </w:t>
      </w:r>
    </w:p>
    <w:p w:rsidR="00000000" w:rsidDel="00000000" w:rsidP="00000000" w:rsidRDefault="00000000" w:rsidRPr="00000000" w14:paraId="00000048">
      <w:pPr>
        <w:widowControl w:val="0"/>
        <w:spacing w:after="0" w:before="32.725830078125" w:line="262.2139263153076" w:lineRule="auto"/>
        <w:ind w:left="11.45751953125" w:right="123.3544921875" w:hanging="2.649688720703125"/>
        <w:jc w:val="both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0" w:firstLine="0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TAXAS DE INSCRIÇÃO</w:t>
      </w:r>
    </w:p>
    <w:p w:rsidR="00000000" w:rsidDel="00000000" w:rsidP="00000000" w:rsidRDefault="00000000" w:rsidRPr="00000000" w14:paraId="0000004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28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942"/>
        <w:gridCol w:w="2943"/>
        <w:gridCol w:w="2943"/>
        <w:tblGridChange w:id="0">
          <w:tblGrid>
            <w:gridCol w:w="2942"/>
            <w:gridCol w:w="2943"/>
            <w:gridCol w:w="2943"/>
          </w:tblGrid>
        </w:tblGridChange>
      </w:tblGrid>
      <w:tr>
        <w:trPr>
          <w:cantSplit w:val="0"/>
          <w:tblHeader w:val="0"/>
        </w:trPr>
        <w:tc>
          <w:tcPr>
            <w:shd w:fill="808080" w:val="clear"/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  <w:rtl w:val="0"/>
              </w:rPr>
              <w:t xml:space="preserve">Tipo de participação</w:t>
            </w:r>
          </w:p>
        </w:tc>
        <w:tc>
          <w:tcPr>
            <w:shd w:fill="808080" w:val="clear"/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  <w:rtl w:val="0"/>
              </w:rPr>
              <w:t xml:space="preserve">Valor anticipado </w:t>
            </w:r>
          </w:p>
          <w:p w:rsidR="00000000" w:rsidDel="00000000" w:rsidP="00000000" w:rsidRDefault="00000000" w:rsidRPr="00000000" w14:paraId="0000004E">
            <w:pPr>
              <w:jc w:val="center"/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  <w:rtl w:val="0"/>
              </w:rPr>
              <w:t xml:space="preserve">(até 30 de janeiro)</w:t>
            </w:r>
          </w:p>
        </w:tc>
        <w:tc>
          <w:tcPr>
            <w:shd w:fill="808080" w:val="clear"/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  <w:rtl w:val="0"/>
              </w:rPr>
              <w:t xml:space="preserve">Valor regular</w:t>
            </w:r>
          </w:p>
          <w:p w:rsidR="00000000" w:rsidDel="00000000" w:rsidP="00000000" w:rsidRDefault="00000000" w:rsidRPr="00000000" w14:paraId="00000050">
            <w:pPr>
              <w:jc w:val="center"/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color w:val="ffffff"/>
                <w:sz w:val="24"/>
                <w:szCs w:val="24"/>
                <w:rtl w:val="0"/>
              </w:rPr>
              <w:t xml:space="preserve">(a partir de 1º de fevereiro)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1">
            <w:pPr>
              <w:jc w:val="right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Pesquisadoras, pesquisadores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$80 dólares*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$120 dólares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4">
            <w:pPr>
              <w:jc w:val="right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Estudantes de pós-graduação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$60 dólares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$80 dólares 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7">
            <w:pPr>
              <w:jc w:val="right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Estudantes de graduação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$10 dólares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$20 dólares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A">
            <w:pPr>
              <w:jc w:val="right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Assistente com certificação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B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$15 dólares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jc w:val="center"/>
              <w:rPr>
                <w:rFonts w:ascii="Gill Sans" w:cs="Gill Sans" w:eastAsia="Gill Sans" w:hAnsi="Gill Sans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Gill Sans" w:cs="Gill Sans" w:eastAsia="Gill Sans" w:hAnsi="Gill Sans"/>
                <w:b w:val="1"/>
                <w:sz w:val="24"/>
                <w:szCs w:val="24"/>
                <w:rtl w:val="0"/>
              </w:rPr>
              <w:t xml:space="preserve">$30 dólares </w:t>
            </w:r>
          </w:p>
        </w:tc>
      </w:tr>
    </w:tbl>
    <w:p w:rsidR="00000000" w:rsidDel="00000000" w:rsidP="00000000" w:rsidRDefault="00000000" w:rsidRPr="00000000" w14:paraId="0000005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* Ou seu equivalente em pesos mexicanos, conforme taxa de câmbio vigente.</w:t>
      </w:r>
    </w:p>
    <w:p w:rsidR="00000000" w:rsidDel="00000000" w:rsidP="00000000" w:rsidRDefault="00000000" w:rsidRPr="00000000" w14:paraId="0000005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720" w:firstLine="0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DATAS IMPORTANTES</w:t>
      </w:r>
    </w:p>
    <w:p w:rsidR="00000000" w:rsidDel="00000000" w:rsidP="00000000" w:rsidRDefault="00000000" w:rsidRPr="00000000" w14:paraId="00000060">
      <w:pPr>
        <w:spacing w:after="0" w:line="240" w:lineRule="auto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Lançamento da convocatória: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dezembro de 2024</w:t>
      </w:r>
    </w:p>
    <w:p w:rsidR="00000000" w:rsidDel="00000000" w:rsidP="00000000" w:rsidRDefault="00000000" w:rsidRPr="00000000" w14:paraId="00000061">
      <w:pPr>
        <w:spacing w:after="0" w:line="240" w:lineRule="auto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Prazo final para recebimento de propostas: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28 de fevereiro de 2025</w:t>
      </w:r>
    </w:p>
    <w:p w:rsidR="00000000" w:rsidDel="00000000" w:rsidP="00000000" w:rsidRDefault="00000000" w:rsidRPr="00000000" w14:paraId="00000062">
      <w:pPr>
        <w:spacing w:after="0" w:line="240" w:lineRule="auto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Aceite das propostas: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até 15 dias após o recebimento</w:t>
      </w:r>
    </w:p>
    <w:p w:rsidR="00000000" w:rsidDel="00000000" w:rsidP="00000000" w:rsidRDefault="00000000" w:rsidRPr="00000000" w14:paraId="00000063">
      <w:pPr>
        <w:spacing w:after="0" w:line="240" w:lineRule="auto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Publicação da programação do congresso: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20 de março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de 2025</w:t>
      </w:r>
    </w:p>
    <w:p w:rsidR="00000000" w:rsidDel="00000000" w:rsidP="00000000" w:rsidRDefault="00000000" w:rsidRPr="00000000" w14:paraId="00000064">
      <w:pPr>
        <w:spacing w:after="0" w:line="240" w:lineRule="auto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Realização do congresso: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de 9 a 11 de abril de 2025</w:t>
      </w:r>
    </w:p>
    <w:p w:rsidR="00000000" w:rsidDel="00000000" w:rsidP="00000000" w:rsidRDefault="00000000" w:rsidRPr="00000000" w14:paraId="00000065">
      <w:pPr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Recebimento das propostas para publicação: </w:t>
      </w: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30 de junho 2025</w:t>
      </w:r>
    </w:p>
    <w:p w:rsidR="00000000" w:rsidDel="00000000" w:rsidP="00000000" w:rsidRDefault="00000000" w:rsidRPr="00000000" w14:paraId="00000066">
      <w:pPr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line="240" w:lineRule="auto"/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ORGANIZAÇÃO</w:t>
      </w:r>
    </w:p>
    <w:p w:rsidR="00000000" w:rsidDel="00000000" w:rsidP="00000000" w:rsidRDefault="00000000" w:rsidRPr="00000000" w14:paraId="00000068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Dr. Raúl Fernando Linares, 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Universidad Autónoma de Baja California, México</w:t>
      </w:r>
    </w:p>
    <w:p w:rsidR="00000000" w:rsidDel="00000000" w:rsidP="00000000" w:rsidRDefault="00000000" w:rsidRPr="00000000" w14:paraId="00000069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Dra. Estela Salomé Solís Gutiérrez, 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Universidad Autónoma de Baja California, México</w:t>
      </w:r>
    </w:p>
    <w:p w:rsidR="00000000" w:rsidDel="00000000" w:rsidP="00000000" w:rsidRDefault="00000000" w:rsidRPr="00000000" w14:paraId="0000006A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Dra. Gabriela Fabbro, 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Universidad Austral, Argentina</w:t>
      </w:r>
    </w:p>
    <w:p w:rsidR="00000000" w:rsidDel="00000000" w:rsidP="00000000" w:rsidRDefault="00000000" w:rsidRPr="00000000" w14:paraId="0000006B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Dra. Rosangela Fachel, 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Universidad de Pelotas, Brasil</w:t>
      </w:r>
    </w:p>
    <w:p w:rsidR="00000000" w:rsidDel="00000000" w:rsidP="00000000" w:rsidRDefault="00000000" w:rsidRPr="00000000" w14:paraId="0000006C">
      <w:pPr>
        <w:spacing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spacing w:line="240" w:lineRule="auto"/>
        <w:jc w:val="center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REALIZAÇÃO</w:t>
      </w: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6E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Faculdade de Ciências Humanas, Universidad Autónoma de Baja California, México</w:t>
      </w:r>
    </w:p>
    <w:p w:rsidR="00000000" w:rsidDel="00000000" w:rsidP="00000000" w:rsidRDefault="00000000" w:rsidRPr="00000000" w14:paraId="0000006F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Rede Iberoamericana de investigação em Narrativas Audiovisuais </w:t>
      </w:r>
    </w:p>
    <w:p w:rsidR="00000000" w:rsidDel="00000000" w:rsidP="00000000" w:rsidRDefault="00000000" w:rsidRPr="00000000" w14:paraId="00000070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Universidade Austral, Argentina</w:t>
      </w:r>
    </w:p>
    <w:p w:rsidR="00000000" w:rsidDel="00000000" w:rsidP="00000000" w:rsidRDefault="00000000" w:rsidRPr="00000000" w14:paraId="00000071">
      <w:pPr>
        <w:spacing w:after="0" w:line="240" w:lineRule="auto"/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Programa de Pós-graduação em Artes, Universidade Federal de Pelotas, Brasil</w:t>
      </w:r>
    </w:p>
    <w:p w:rsidR="00000000" w:rsidDel="00000000" w:rsidP="00000000" w:rsidRDefault="00000000" w:rsidRPr="00000000" w14:paraId="00000072">
      <w:pPr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jc w:val="center"/>
        <w:rPr>
          <w:rFonts w:ascii="Gill Sans" w:cs="Gill Sans" w:eastAsia="Gill Sans" w:hAnsi="Gill Sans"/>
          <w:b w:val="1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b w:val="1"/>
          <w:sz w:val="24"/>
          <w:szCs w:val="24"/>
          <w:rtl w:val="0"/>
        </w:rPr>
        <w:t xml:space="preserve">MAIS INFORMAÇÕES</w:t>
      </w:r>
    </w:p>
    <w:p w:rsidR="00000000" w:rsidDel="00000000" w:rsidP="00000000" w:rsidRDefault="00000000" w:rsidRPr="00000000" w14:paraId="00000074">
      <w:pPr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Questões não consideradas por esta convocatória poderão ser consultadas por meio do seguinte endereço de e-mail </w:t>
      </w:r>
      <w:hyperlink r:id="rId8">
        <w:r w:rsidDel="00000000" w:rsidR="00000000" w:rsidRPr="00000000">
          <w:rPr>
            <w:rFonts w:ascii="Gill Sans" w:cs="Gill Sans" w:eastAsia="Gill Sans" w:hAnsi="Gill Sans"/>
            <w:color w:val="1155cc"/>
            <w:sz w:val="24"/>
            <w:szCs w:val="24"/>
            <w:u w:val="single"/>
            <w:rtl w:val="0"/>
          </w:rPr>
          <w:t xml:space="preserve">congresoinav2025@uabc.edu.mx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>
          <w:rFonts w:ascii="Gill Sans" w:cs="Gill Sans" w:eastAsia="Gill Sans" w:hAnsi="Gill Sans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jc w:val="right"/>
        <w:rPr>
          <w:rFonts w:ascii="Gill Sans" w:cs="Gill Sans" w:eastAsia="Gill Sans" w:hAnsi="Gill Sans"/>
          <w:sz w:val="24"/>
          <w:szCs w:val="24"/>
          <w:highlight w:val="green"/>
        </w:rPr>
      </w:pPr>
      <w:r w:rsidDel="00000000" w:rsidR="00000000" w:rsidRPr="00000000">
        <w:rPr>
          <w:rFonts w:ascii="Gill Sans" w:cs="Gill Sans" w:eastAsia="Gill Sans" w:hAnsi="Gill Sans"/>
          <w:sz w:val="24"/>
          <w:szCs w:val="24"/>
          <w:rtl w:val="0"/>
        </w:rPr>
        <w:t xml:space="preserve">Mexicali, Baja California, México, dezembro de 2024.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/>
      </w:pPr>
      <w:r w:rsidDel="00000000" w:rsidR="00000000" w:rsidRPr="00000000">
        <w:rPr>
          <w:rtl w:val="0"/>
        </w:rPr>
      </w:r>
    </w:p>
    <w:sectPr>
      <w:headerReference r:id="rId9" w:type="default"/>
      <w:headerReference r:id="rId10" w:type="first"/>
      <w:footerReference r:id="rId11" w:type="first"/>
      <w:pgSz w:h="15840" w:w="12240" w:orient="portrait"/>
      <w:pgMar w:bottom="1417" w:top="1417" w:left="1701" w:right="1701" w:header="708" w:footer="708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ambria"/>
  <w:font w:name="Noto Sans Symbols">
    <w:embedRegular w:fontKey="{00000000-0000-0000-0000-000000000000}" r:id="rId1" w:subsetted="0"/>
    <w:embedBold w:fontKey="{00000000-0000-0000-0000-000000000000}" r:id="rId2" w:subsetted="0"/>
  </w:font>
  <w:font w:name="Gill Sans">
    <w:embedRegular w:fontKey="{00000000-0000-0000-0000-000000000000}" r:id="rId3" w:subsetted="0"/>
    <w:embedBold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A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8">
    <w:pPr>
      <w:rPr/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9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MX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 w:val="1"/>
    <w:unhideWhenUsed w:val="1"/>
    <w:rsid w:val="00876EE8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 w:val="1"/>
    <w:rsid w:val="00876EE8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 w:val="1"/>
    <w:unhideWhenUsed w:val="1"/>
    <w:rsid w:val="00876EE8"/>
    <w:rPr>
      <w:color w:val="605e5c"/>
      <w:shd w:color="auto" w:fill="e1dfdd" w:val="clear"/>
    </w:rPr>
  </w:style>
  <w:style w:type="paragraph" w:styleId="Prrafodelista">
    <w:name w:val="List Paragraph"/>
    <w:basedOn w:val="Normal"/>
    <w:uiPriority w:val="34"/>
    <w:qFormat w:val="1"/>
    <w:rsid w:val="00876EE8"/>
    <w:pPr>
      <w:ind w:left="720"/>
      <w:contextualSpacing w:val="1"/>
    </w:pPr>
  </w:style>
  <w:style w:type="table" w:styleId="Tablaconcuadrcula">
    <w:name w:val="Table Grid"/>
    <w:basedOn w:val="Tablanormal"/>
    <w:uiPriority w:val="39"/>
    <w:rsid w:val="00876EE8"/>
    <w:pPr>
      <w:spacing w:after="0" w:line="240" w:lineRule="auto"/>
    </w:pPr>
    <w:rPr>
      <w:rFonts w:cs="Times New Roman" w:eastAsia="Times New Roman" w:asciiTheme="minorHAnsi" w:hAnsiTheme="minorHAnsi"/>
      <w:lang w:eastAsia="en-US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Cambria" w:cs="Cambria" w:eastAsia="Cambria" w:hAnsi="Cambria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Cambria" w:cs="Cambria" w:eastAsia="Cambria" w:hAnsi="Cambria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rPr>
      <w:rFonts w:ascii="Cambria" w:cs="Cambria" w:eastAsia="Cambria" w:hAnsi="Cambria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header" Target="header2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forms.gle/uosRVypsbfRpMTpd6" TargetMode="External"/><Relationship Id="rId8" Type="http://schemas.openxmlformats.org/officeDocument/2006/relationships/hyperlink" Target="mailto:congresoinav2025@uabc.edu.mx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Relationship Id="rId3" Type="http://schemas.openxmlformats.org/officeDocument/2006/relationships/font" Target="fonts/GillSans-regular.ttf"/><Relationship Id="rId4" Type="http://schemas.openxmlformats.org/officeDocument/2006/relationships/font" Target="fonts/GillSan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WR4/fDQJMsPJrIvSuLINemq3Pqg==">CgMxLjAyCGguZ2pkZ3hzOAByITFGY2NTSnN2ZXFkZnQxZkwxZWdFM01CemRlaVlyZFpmcA==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2024-06-25T17:12:00Z</dcterms:created>
  <dc:creator>Rosi Beltran</dc:creator>
</cp:coreProperties>
</file>